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63</w:t>
      </w:r>
    </w:p>
    <w:tbl>
      <w:tblPr>
        <w:tblStyle w:val="Grigliatabella"/>
        <w:tblW w:w="5000" w:type="pct"/>
        <w:jc w:val="center"/>
        <w:tblLook w:val="04A0" w:firstRow="1" w:lastRow="0" w:firstColumn="1" w:lastColumn="0" w:noHBand="0" w:noVBand="1"/>
      </w:tblPr>
      <w:tblGrid>
        <w:gridCol w:w="2990"/>
        <w:gridCol w:w="6070"/>
      </w:tblGrid>
      <w:tr w:rsidR="001B5504" w:rsidRPr="00991B29" w14:paraId="7E897B51" w14:textId="77777777" w:rsidTr="001B5504">
        <w:trPr>
          <w:jc w:val="center"/>
        </w:trPr>
        <w:tc>
          <w:tcPr>
            <w:tcW w:w="1650" w:type="pct"/>
            <w:vAlign w:val="center"/>
          </w:tcPr>
          <w:p w14:paraId="42CC7784"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Anno di rinvenimento</w:t>
            </w:r>
          </w:p>
        </w:tc>
        <w:tc>
          <w:tcPr>
            <w:tcW w:w="3350" w:type="pct"/>
            <w:vAlign w:val="center"/>
          </w:tcPr>
          <w:p w14:paraId="3911E4F6" w14:textId="6BFD1686" w:rsidR="001B5504" w:rsidRPr="00991B29" w:rsidRDefault="001B5504" w:rsidP="00BF212E">
            <w:pPr>
              <w:jc w:val="center"/>
              <w:rPr>
                <w:rFonts w:ascii="Titillium Web" w:hAnsi="Titillium Web"/>
                <w:szCs w:val="24"/>
              </w:rPr>
            </w:pPr>
            <w:r w:rsidRPr="00991B29">
              <w:rPr>
                <w:rFonts w:ascii="Titillium Web" w:hAnsi="Titillium Web"/>
                <w:szCs w:val="24"/>
              </w:rPr>
              <w:t>1923</w:t>
            </w:r>
          </w:p>
        </w:tc>
      </w:tr>
      <w:tr w:rsidR="001B5504" w:rsidRPr="00991B29" w14:paraId="4120B077" w14:textId="77777777" w:rsidTr="001B5504">
        <w:trPr>
          <w:jc w:val="center"/>
        </w:trPr>
        <w:tc>
          <w:tcPr>
            <w:tcW w:w="1650" w:type="pct"/>
            <w:vAlign w:val="center"/>
          </w:tcPr>
          <w:p w14:paraId="7B4CDD57"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Stato di conservazione della tomba</w:t>
            </w:r>
          </w:p>
        </w:tc>
        <w:tc>
          <w:tcPr>
            <w:tcW w:w="3350" w:type="pct"/>
            <w:vAlign w:val="center"/>
          </w:tcPr>
          <w:p w14:paraId="4ED449D1" w14:textId="67560E4F" w:rsidR="001B5504" w:rsidRPr="00991B29" w:rsidRDefault="001B5504" w:rsidP="00BF212E">
            <w:pPr>
              <w:jc w:val="center"/>
              <w:rPr>
                <w:rFonts w:ascii="Titillium Web" w:hAnsi="Titillium Web"/>
                <w:szCs w:val="24"/>
              </w:rPr>
            </w:pPr>
            <w:r w:rsidRPr="00991B29">
              <w:rPr>
                <w:rFonts w:ascii="Titillium Web" w:hAnsi="Titillium Web"/>
                <w:szCs w:val="24"/>
              </w:rPr>
              <w:t>Intatta</w:t>
            </w:r>
          </w:p>
        </w:tc>
      </w:tr>
      <w:tr w:rsidR="001B5504" w:rsidRPr="00991B29" w14:paraId="7A448E9D" w14:textId="77777777" w:rsidTr="001B5504">
        <w:trPr>
          <w:jc w:val="center"/>
        </w:trPr>
        <w:tc>
          <w:tcPr>
            <w:tcW w:w="1650" w:type="pct"/>
            <w:vAlign w:val="center"/>
          </w:tcPr>
          <w:p w14:paraId="1E1EA165"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Rito di seppellimento</w:t>
            </w:r>
          </w:p>
        </w:tc>
        <w:tc>
          <w:tcPr>
            <w:tcW w:w="3350" w:type="pct"/>
            <w:vAlign w:val="center"/>
          </w:tcPr>
          <w:p w14:paraId="18226334" w14:textId="6B6FE1CF" w:rsidR="001B5504" w:rsidRPr="00991B29" w:rsidRDefault="001B5504" w:rsidP="00BF212E">
            <w:pPr>
              <w:jc w:val="center"/>
              <w:rPr>
                <w:rFonts w:ascii="Titillium Web" w:hAnsi="Titillium Web"/>
                <w:szCs w:val="24"/>
              </w:rPr>
            </w:pPr>
            <w:r w:rsidRPr="00991B29">
              <w:rPr>
                <w:rFonts w:ascii="Titillium Web" w:hAnsi="Titillium Web"/>
                <w:szCs w:val="24"/>
              </w:rPr>
              <w:t>Cremazione</w:t>
            </w:r>
          </w:p>
        </w:tc>
      </w:tr>
      <w:tr w:rsidR="001B5504" w:rsidRPr="00991B29" w14:paraId="31276AA4" w14:textId="77777777" w:rsidTr="001B5504">
        <w:trPr>
          <w:jc w:val="center"/>
        </w:trPr>
        <w:tc>
          <w:tcPr>
            <w:tcW w:w="1650" w:type="pct"/>
            <w:vAlign w:val="center"/>
          </w:tcPr>
          <w:p w14:paraId="33201D3D"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Struttura tomba</w:t>
            </w:r>
          </w:p>
        </w:tc>
        <w:tc>
          <w:tcPr>
            <w:tcW w:w="3350" w:type="pct"/>
            <w:vAlign w:val="center"/>
          </w:tcPr>
          <w:p w14:paraId="720E7EE7" w14:textId="3E36BEBB" w:rsidR="001B5504" w:rsidRPr="00991B29" w:rsidRDefault="001B5504" w:rsidP="00BF212E">
            <w:pPr>
              <w:jc w:val="center"/>
              <w:rPr>
                <w:rFonts w:ascii="Titillium Web" w:hAnsi="Titillium Web"/>
                <w:szCs w:val="24"/>
              </w:rPr>
            </w:pPr>
            <w:r w:rsidRPr="00991B29">
              <w:rPr>
                <w:rFonts w:ascii="Titillium Web" w:hAnsi="Titillium Web"/>
                <w:szCs w:val="24"/>
              </w:rPr>
              <w:t>Pozzetto semplice</w:t>
            </w:r>
          </w:p>
        </w:tc>
      </w:tr>
      <w:tr w:rsidR="001B5504" w:rsidRPr="00991B29" w14:paraId="07337DA2" w14:textId="77777777" w:rsidTr="001B5504">
        <w:trPr>
          <w:jc w:val="center"/>
        </w:trPr>
        <w:tc>
          <w:tcPr>
            <w:tcW w:w="1650" w:type="pct"/>
            <w:vAlign w:val="center"/>
          </w:tcPr>
          <w:p w14:paraId="5032DFD5"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Profondità dal piano di campagna</w:t>
            </w:r>
          </w:p>
        </w:tc>
        <w:tc>
          <w:tcPr>
            <w:tcW w:w="3350" w:type="pct"/>
            <w:vAlign w:val="center"/>
          </w:tcPr>
          <w:p w14:paraId="4AC1C871" w14:textId="553FE193" w:rsidR="001B5504" w:rsidRPr="00991B29" w:rsidRDefault="001B5504" w:rsidP="00BF212E">
            <w:pPr>
              <w:jc w:val="center"/>
              <w:rPr>
                <w:rFonts w:ascii="Titillium Web" w:hAnsi="Titillium Web"/>
                <w:szCs w:val="24"/>
              </w:rPr>
            </w:pPr>
            <w:r w:rsidRPr="00991B29">
              <w:rPr>
                <w:rFonts w:ascii="Titillium Web" w:hAnsi="Titillium Web"/>
                <w:szCs w:val="24"/>
              </w:rPr>
              <w:t>0,60 m</w:t>
            </w:r>
          </w:p>
        </w:tc>
      </w:tr>
      <w:tr w:rsidR="001B5504" w:rsidRPr="00991B29" w14:paraId="16F9D287" w14:textId="77777777" w:rsidTr="001B5504">
        <w:trPr>
          <w:jc w:val="center"/>
        </w:trPr>
        <w:tc>
          <w:tcPr>
            <w:tcW w:w="1650" w:type="pct"/>
            <w:vAlign w:val="center"/>
          </w:tcPr>
          <w:p w14:paraId="5D675683"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Dimensioni della sepoltura</w:t>
            </w:r>
          </w:p>
        </w:tc>
        <w:tc>
          <w:tcPr>
            <w:tcW w:w="3350" w:type="pct"/>
            <w:vAlign w:val="center"/>
          </w:tcPr>
          <w:p w14:paraId="606ED54D" w14:textId="0EBDB5D9" w:rsidR="001B5504" w:rsidRPr="00991B29" w:rsidRDefault="001B5504" w:rsidP="00BF212E">
            <w:pPr>
              <w:jc w:val="center"/>
              <w:rPr>
                <w:rFonts w:ascii="Titillium Web" w:hAnsi="Titillium Web"/>
                <w:szCs w:val="24"/>
              </w:rPr>
            </w:pPr>
            <w:r w:rsidRPr="00991B29">
              <w:rPr>
                <w:rFonts w:ascii="Titillium Web" w:hAnsi="Titillium Web"/>
                <w:szCs w:val="24"/>
              </w:rPr>
              <w:t>Dimensioni non registrate</w:t>
            </w:r>
          </w:p>
        </w:tc>
      </w:tr>
      <w:tr w:rsidR="001B5504" w:rsidRPr="00991B29" w14:paraId="3DCDE8C5" w14:textId="77777777" w:rsidTr="001B5504">
        <w:trPr>
          <w:jc w:val="center"/>
        </w:trPr>
        <w:tc>
          <w:tcPr>
            <w:tcW w:w="1650" w:type="pct"/>
            <w:vAlign w:val="center"/>
          </w:tcPr>
          <w:p w14:paraId="090E3992"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Orientamento dello scheletro</w:t>
            </w:r>
          </w:p>
        </w:tc>
        <w:tc>
          <w:tcPr>
            <w:tcW w:w="3350" w:type="pct"/>
            <w:vAlign w:val="center"/>
          </w:tcPr>
          <w:p w14:paraId="01C3562F" w14:textId="0B05A737" w:rsidR="001B5504" w:rsidRPr="00991B29" w:rsidRDefault="00991B29" w:rsidP="00BF212E">
            <w:pPr>
              <w:jc w:val="center"/>
              <w:rPr>
                <w:rFonts w:ascii="Titillium Web" w:hAnsi="Titillium Web"/>
                <w:szCs w:val="24"/>
              </w:rPr>
            </w:pPr>
            <w:r w:rsidRPr="00991B29">
              <w:rPr>
                <w:rFonts w:ascii="Titillium Web" w:hAnsi="Titillium Web"/>
                <w:szCs w:val="24"/>
              </w:rPr>
              <w:t>/</w:t>
            </w:r>
          </w:p>
        </w:tc>
      </w:tr>
      <w:tr w:rsidR="001B5504" w:rsidRPr="00991B29" w14:paraId="5978151F" w14:textId="77777777" w:rsidTr="001B5504">
        <w:trPr>
          <w:jc w:val="center"/>
        </w:trPr>
        <w:tc>
          <w:tcPr>
            <w:tcW w:w="1650" w:type="pct"/>
            <w:vAlign w:val="center"/>
          </w:tcPr>
          <w:p w14:paraId="1F67A10B"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Segnacolo</w:t>
            </w:r>
          </w:p>
        </w:tc>
        <w:tc>
          <w:tcPr>
            <w:tcW w:w="3350" w:type="pct"/>
            <w:vAlign w:val="center"/>
          </w:tcPr>
          <w:p w14:paraId="6599D472" w14:textId="72ECAA51" w:rsidR="001B5504" w:rsidRPr="00991B29" w:rsidRDefault="00991B29" w:rsidP="00BF212E">
            <w:pPr>
              <w:jc w:val="center"/>
              <w:rPr>
                <w:rFonts w:ascii="Titillium Web" w:hAnsi="Titillium Web"/>
                <w:szCs w:val="24"/>
              </w:rPr>
            </w:pPr>
            <w:r w:rsidRPr="00991B29">
              <w:rPr>
                <w:rFonts w:ascii="Titillium Web" w:hAnsi="Titillium Web"/>
                <w:szCs w:val="24"/>
              </w:rPr>
              <w:t>/</w:t>
            </w:r>
          </w:p>
        </w:tc>
      </w:tr>
      <w:tr w:rsidR="001B5504" w:rsidRPr="00991B29" w14:paraId="28E05F99" w14:textId="77777777" w:rsidTr="001B5504">
        <w:trPr>
          <w:jc w:val="center"/>
        </w:trPr>
        <w:tc>
          <w:tcPr>
            <w:tcW w:w="1650" w:type="pct"/>
            <w:vAlign w:val="center"/>
          </w:tcPr>
          <w:p w14:paraId="6ECF1BD4" w14:textId="77777777" w:rsidR="001B5504" w:rsidRPr="00991B29" w:rsidRDefault="001B5504" w:rsidP="001F2833">
            <w:pPr>
              <w:spacing w:before="120" w:after="120"/>
              <w:jc w:val="center"/>
              <w:rPr>
                <w:rFonts w:ascii="Titillium Web" w:hAnsi="Titillium Web"/>
                <w:smallCaps/>
                <w:szCs w:val="24"/>
              </w:rPr>
            </w:pPr>
            <w:r w:rsidRPr="00991B29">
              <w:rPr>
                <w:rFonts w:ascii="Titillium Web" w:hAnsi="Titillium Web"/>
                <w:smallCaps/>
                <w:szCs w:val="24"/>
              </w:rPr>
              <w:t>Giornale di scavo (GdS)</w:t>
            </w:r>
          </w:p>
        </w:tc>
        <w:tc>
          <w:tcPr>
            <w:tcW w:w="3350" w:type="pct"/>
            <w:vAlign w:val="center"/>
          </w:tcPr>
          <w:p w14:paraId="1A6B7E7E" w14:textId="6CD3354F" w:rsidR="001B5504" w:rsidRPr="00991B29" w:rsidRDefault="001B5504" w:rsidP="00BF212E">
            <w:pPr>
              <w:jc w:val="left"/>
              <w:rPr>
                <w:rFonts w:ascii="Titillium Web" w:hAnsi="Titillium Web"/>
                <w:i/>
                <w:iCs/>
                <w:szCs w:val="24"/>
              </w:rPr>
            </w:pPr>
            <w:r w:rsidRPr="00991B29">
              <w:rPr>
                <w:rFonts w:ascii="Titillium Web" w:hAnsi="Titillium Web"/>
                <w:i/>
                <w:iCs/>
                <w:szCs w:val="24"/>
              </w:rPr>
              <w:t>lunedì 7 maggio –</w:t>
            </w:r>
            <w:r w:rsidRPr="00991B29">
              <w:rPr>
                <w:rFonts w:ascii="Titillium Web" w:hAnsi="Titillium Web"/>
                <w:i/>
                <w:iCs/>
                <w:szCs w:val="24"/>
              </w:rPr>
              <w:br/>
              <w:t>a cremazione</w:t>
            </w:r>
            <w:r w:rsidRPr="00991B29">
              <w:rPr>
                <w:rFonts w:ascii="Titillium Web" w:hAnsi="Titillium Web"/>
                <w:i/>
                <w:iCs/>
                <w:szCs w:val="24"/>
              </w:rPr>
              <w:br/>
              <w:t xml:space="preserve">63 Tomba – a m 5 lungo l’asse del dosso e a m 2,80 a ponente dell’asse, alla prof.tà di m 0,60 si rinviene </w:t>
            </w:r>
            <w:r w:rsidRPr="00991B29">
              <w:rPr>
                <w:rFonts w:ascii="Titillium Web" w:hAnsi="Titillium Web"/>
                <w:i/>
                <w:iCs/>
                <w:szCs w:val="24"/>
                <w:u w:val="single"/>
              </w:rPr>
              <w:t>un piccolo dolio di terra cenerognola</w:t>
            </w:r>
            <w:r w:rsidRPr="00991B29">
              <w:rPr>
                <w:rFonts w:ascii="Titillium Web" w:hAnsi="Titillium Web"/>
                <w:i/>
                <w:iCs/>
                <w:szCs w:val="24"/>
              </w:rPr>
              <w:t xml:space="preserve">, completamente marcito e coperto </w:t>
            </w:r>
            <w:r w:rsidRPr="00991B29">
              <w:rPr>
                <w:rFonts w:ascii="Titillium Web" w:hAnsi="Titillium Web"/>
                <w:i/>
                <w:iCs/>
                <w:szCs w:val="24"/>
                <w:u w:val="single"/>
              </w:rPr>
              <w:t>da un piattello</w:t>
            </w:r>
            <w:r w:rsidRPr="00991B29">
              <w:rPr>
                <w:rFonts w:ascii="Titillium Web" w:hAnsi="Titillium Web"/>
                <w:i/>
                <w:iCs/>
                <w:szCs w:val="24"/>
              </w:rPr>
              <w:t xml:space="preserve"> (frammentato) di terra d’impasto locale a modo di coperchio. Il dolietto è alto 0,28 ed è liscio e grezzo con due anse ad anello presso l’orlo; è stato raccolto in frammenti. Fra le ceneri non vi era alcun oggetto.</w:t>
            </w:r>
            <w:r w:rsidRPr="00991B29">
              <w:rPr>
                <w:rFonts w:ascii="Titillium Web" w:hAnsi="Titillium Web"/>
                <w:i/>
                <w:iCs/>
                <w:szCs w:val="24"/>
              </w:rPr>
              <w:br/>
              <w:t>Non restaurabile.</w:t>
            </w:r>
          </w:p>
        </w:tc>
      </w:tr>
      <w:tr w:rsidR="001B5504" w:rsidRPr="00991B29" w14:paraId="4CA65959" w14:textId="77777777" w:rsidTr="001B5504">
        <w:trPr>
          <w:jc w:val="center"/>
        </w:trPr>
        <w:tc>
          <w:tcPr>
            <w:tcW w:w="1650" w:type="pct"/>
            <w:vAlign w:val="center"/>
          </w:tcPr>
          <w:p w14:paraId="42C0306C"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Corredo</w:t>
            </w:r>
          </w:p>
        </w:tc>
        <w:tc>
          <w:tcPr>
            <w:tcW w:w="3350" w:type="pct"/>
            <w:vAlign w:val="center"/>
          </w:tcPr>
          <w:p w14:paraId="404ACAE1" w14:textId="77777777" w:rsidR="001B5504" w:rsidRPr="00991B29" w:rsidRDefault="00D22CAE" w:rsidP="00D22CAE">
            <w:pPr>
              <w:jc w:val="center"/>
              <w:rPr>
                <w:rFonts w:ascii="Titillium Web" w:hAnsi="Titillium Web" w:cs="Times New Roman"/>
                <w:szCs w:val="24"/>
              </w:rPr>
            </w:pPr>
            <w:r w:rsidRPr="00991B29">
              <w:rPr>
                <w:rFonts w:ascii="Titillium Web" w:hAnsi="Titillium Web" w:cs="Times New Roman"/>
                <w:szCs w:val="24"/>
              </w:rPr>
              <w:t>I resti cremati del defunto erano conservati in un’olla di produzione locale in ceramica depurata (n. 1), coperta da un piatto di produzione locale in ceramica grigia (n. 2). La sepoltura era priva di corredo.</w:t>
            </w:r>
          </w:p>
          <w:p w14:paraId="1682DF5C" w14:textId="77777777" w:rsidR="00D22CAE" w:rsidRPr="00991B29" w:rsidRDefault="00D22CAE" w:rsidP="00D22CAE">
            <w:pPr>
              <w:jc w:val="center"/>
              <w:rPr>
                <w:rFonts w:ascii="Titillium Web" w:hAnsi="Titillium Web" w:cs="Times New Roman"/>
                <w:szCs w:val="24"/>
              </w:rPr>
            </w:pPr>
            <w:r w:rsidRPr="00991B29">
              <w:rPr>
                <w:rFonts w:ascii="Titillium Web" w:hAnsi="Titillium Web" w:cs="Times New Roman"/>
                <w:szCs w:val="24"/>
              </w:rPr>
              <w:t>1. Olla di produzione locale (IG 45896; ceramica depurata)</w:t>
            </w:r>
          </w:p>
          <w:p w14:paraId="5EE32F9C" w14:textId="2211415F" w:rsidR="00D22CAE" w:rsidRPr="00991B29" w:rsidRDefault="00D22CAE" w:rsidP="00D22CAE">
            <w:pPr>
              <w:jc w:val="center"/>
              <w:rPr>
                <w:rFonts w:ascii="Titillium Web" w:hAnsi="Titillium Web"/>
                <w:szCs w:val="24"/>
              </w:rPr>
            </w:pPr>
            <w:r w:rsidRPr="00991B29">
              <w:rPr>
                <w:rFonts w:ascii="Titillium Web" w:hAnsi="Titillium Web"/>
                <w:szCs w:val="24"/>
              </w:rPr>
              <w:t>2.</w:t>
            </w:r>
            <w:r w:rsidR="00991B29" w:rsidRPr="00991B29">
              <w:rPr>
                <w:rFonts w:ascii="Titillium Web" w:hAnsi="Titillium Web"/>
                <w:szCs w:val="24"/>
              </w:rPr>
              <w:t xml:space="preserve"> Piatto di produzione locale (IG 16142; ceramica grigia)</w:t>
            </w:r>
          </w:p>
        </w:tc>
      </w:tr>
      <w:tr w:rsidR="001B5504" w:rsidRPr="00991B29" w14:paraId="520D9732" w14:textId="77777777" w:rsidTr="001B5504">
        <w:trPr>
          <w:jc w:val="center"/>
        </w:trPr>
        <w:tc>
          <w:tcPr>
            <w:tcW w:w="1650" w:type="pct"/>
            <w:vAlign w:val="center"/>
          </w:tcPr>
          <w:p w14:paraId="24BE97D5"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Posizione del corredo</w:t>
            </w:r>
          </w:p>
        </w:tc>
        <w:tc>
          <w:tcPr>
            <w:tcW w:w="3350" w:type="pct"/>
            <w:vAlign w:val="center"/>
          </w:tcPr>
          <w:p w14:paraId="3ED37A74" w14:textId="0BD4370C" w:rsidR="001B5504" w:rsidRPr="00991B29" w:rsidRDefault="00D22CAE" w:rsidP="00BF212E">
            <w:pPr>
              <w:jc w:val="center"/>
              <w:rPr>
                <w:rFonts w:ascii="Titillium Web" w:hAnsi="Titillium Web"/>
                <w:szCs w:val="24"/>
              </w:rPr>
            </w:pPr>
            <w:r w:rsidRPr="00991B29">
              <w:rPr>
                <w:rFonts w:ascii="Titillium Web" w:hAnsi="Titillium Web"/>
                <w:szCs w:val="24"/>
              </w:rPr>
              <w:t>Nessun oggetto rinvenuto</w:t>
            </w:r>
          </w:p>
        </w:tc>
      </w:tr>
      <w:tr w:rsidR="001B5504" w:rsidRPr="00991B29" w14:paraId="05ACB002" w14:textId="77777777" w:rsidTr="001B5504">
        <w:trPr>
          <w:jc w:val="center"/>
        </w:trPr>
        <w:tc>
          <w:tcPr>
            <w:tcW w:w="1650" w:type="pct"/>
            <w:vAlign w:val="center"/>
          </w:tcPr>
          <w:p w14:paraId="6E6E37F2"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Stato di conservazione e affidabilità del corredo</w:t>
            </w:r>
          </w:p>
        </w:tc>
        <w:tc>
          <w:tcPr>
            <w:tcW w:w="3350" w:type="pct"/>
            <w:vAlign w:val="center"/>
          </w:tcPr>
          <w:p w14:paraId="66E8A271" w14:textId="6750755D" w:rsidR="001B5504" w:rsidRPr="00991B29" w:rsidRDefault="00D22CAE" w:rsidP="00BF212E">
            <w:pPr>
              <w:jc w:val="center"/>
              <w:rPr>
                <w:rFonts w:ascii="Titillium Web" w:hAnsi="Titillium Web"/>
                <w:szCs w:val="24"/>
              </w:rPr>
            </w:pPr>
            <w:r w:rsidRPr="00991B29">
              <w:rPr>
                <w:rFonts w:ascii="Titillium Web" w:hAnsi="Titillium Web"/>
                <w:szCs w:val="24"/>
              </w:rPr>
              <w:t>/</w:t>
            </w:r>
          </w:p>
        </w:tc>
      </w:tr>
      <w:tr w:rsidR="001B5504" w:rsidRPr="00991B29" w14:paraId="6E424069" w14:textId="77777777" w:rsidTr="001B5504">
        <w:trPr>
          <w:jc w:val="center"/>
        </w:trPr>
        <w:tc>
          <w:tcPr>
            <w:tcW w:w="1650" w:type="pct"/>
            <w:vAlign w:val="center"/>
          </w:tcPr>
          <w:p w14:paraId="4CE8DFDE"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Genere (legato all’analisi del corredo)</w:t>
            </w:r>
          </w:p>
        </w:tc>
        <w:tc>
          <w:tcPr>
            <w:tcW w:w="3350" w:type="pct"/>
            <w:vAlign w:val="center"/>
          </w:tcPr>
          <w:p w14:paraId="04E55D8B" w14:textId="15D5D226" w:rsidR="001B5504" w:rsidRPr="00991B29" w:rsidRDefault="001B5504" w:rsidP="00BF212E">
            <w:pPr>
              <w:jc w:val="center"/>
              <w:rPr>
                <w:rFonts w:ascii="Titillium Web" w:hAnsi="Titillium Web"/>
                <w:szCs w:val="24"/>
              </w:rPr>
            </w:pPr>
            <w:r w:rsidRPr="00991B29">
              <w:rPr>
                <w:rFonts w:ascii="Titillium Web" w:hAnsi="Titillium Web"/>
                <w:szCs w:val="24"/>
              </w:rPr>
              <w:t>Non determinabile</w:t>
            </w:r>
          </w:p>
        </w:tc>
      </w:tr>
      <w:tr w:rsidR="001B5504" w:rsidRPr="00991B29" w14:paraId="7C1BF645" w14:textId="77777777" w:rsidTr="001B5504">
        <w:trPr>
          <w:jc w:val="center"/>
        </w:trPr>
        <w:tc>
          <w:tcPr>
            <w:tcW w:w="1650" w:type="pct"/>
            <w:vAlign w:val="center"/>
          </w:tcPr>
          <w:p w14:paraId="7EADEEB5"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Sesso (legato alle analisi antropologiche)</w:t>
            </w:r>
          </w:p>
        </w:tc>
        <w:tc>
          <w:tcPr>
            <w:tcW w:w="3350" w:type="pct"/>
            <w:vAlign w:val="center"/>
          </w:tcPr>
          <w:p w14:paraId="5D17FB99" w14:textId="46EBB367" w:rsidR="001B5504" w:rsidRPr="00991B29" w:rsidRDefault="001B5504" w:rsidP="00BF212E">
            <w:pPr>
              <w:jc w:val="center"/>
              <w:rPr>
                <w:rFonts w:ascii="Titillium Web" w:hAnsi="Titillium Web"/>
                <w:szCs w:val="24"/>
              </w:rPr>
            </w:pPr>
            <w:r w:rsidRPr="00991B29">
              <w:rPr>
                <w:rFonts w:ascii="Titillium Web" w:hAnsi="Titillium Web"/>
                <w:szCs w:val="24"/>
              </w:rPr>
              <w:t>Non determinabile</w:t>
            </w:r>
          </w:p>
        </w:tc>
      </w:tr>
      <w:tr w:rsidR="001B5504" w:rsidRPr="00991B29" w14:paraId="498C4222" w14:textId="77777777" w:rsidTr="001B5504">
        <w:trPr>
          <w:jc w:val="center"/>
        </w:trPr>
        <w:tc>
          <w:tcPr>
            <w:tcW w:w="1650" w:type="pct"/>
            <w:vAlign w:val="center"/>
          </w:tcPr>
          <w:p w14:paraId="57C39F2A"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Classi di età</w:t>
            </w:r>
          </w:p>
        </w:tc>
        <w:tc>
          <w:tcPr>
            <w:tcW w:w="3350" w:type="pct"/>
            <w:vAlign w:val="center"/>
          </w:tcPr>
          <w:p w14:paraId="3FA8CB4E" w14:textId="5B4E47B7" w:rsidR="001B5504" w:rsidRPr="00991B29" w:rsidRDefault="001B5504" w:rsidP="00BF212E">
            <w:pPr>
              <w:jc w:val="center"/>
              <w:rPr>
                <w:rFonts w:ascii="Titillium Web" w:hAnsi="Titillium Web"/>
                <w:szCs w:val="24"/>
              </w:rPr>
            </w:pPr>
            <w:r w:rsidRPr="00991B29">
              <w:rPr>
                <w:rFonts w:ascii="Titillium Web" w:hAnsi="Titillium Web"/>
                <w:szCs w:val="24"/>
              </w:rPr>
              <w:t>Non determinabile</w:t>
            </w:r>
          </w:p>
        </w:tc>
      </w:tr>
      <w:tr w:rsidR="001B5504" w:rsidRPr="00991B29" w14:paraId="698056B7" w14:textId="77777777" w:rsidTr="001B5504">
        <w:trPr>
          <w:jc w:val="center"/>
        </w:trPr>
        <w:tc>
          <w:tcPr>
            <w:tcW w:w="1650" w:type="pct"/>
            <w:vAlign w:val="center"/>
          </w:tcPr>
          <w:p w14:paraId="225E12C1"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Cronologia</w:t>
            </w:r>
          </w:p>
        </w:tc>
        <w:tc>
          <w:tcPr>
            <w:tcW w:w="3350" w:type="pct"/>
            <w:vAlign w:val="center"/>
          </w:tcPr>
          <w:p w14:paraId="440AB2F6" w14:textId="65221464" w:rsidR="001B5504" w:rsidRPr="00991B29" w:rsidRDefault="001B5504" w:rsidP="00BF212E">
            <w:pPr>
              <w:jc w:val="center"/>
              <w:rPr>
                <w:rFonts w:ascii="Titillium Web" w:hAnsi="Titillium Web"/>
                <w:szCs w:val="24"/>
              </w:rPr>
            </w:pPr>
            <w:r w:rsidRPr="00991B29">
              <w:rPr>
                <w:rFonts w:ascii="Titillium Web" w:hAnsi="Titillium Web"/>
                <w:szCs w:val="24"/>
              </w:rPr>
              <w:t>Non determinabile</w:t>
            </w:r>
          </w:p>
        </w:tc>
      </w:tr>
      <w:tr w:rsidR="001B5504" w:rsidRPr="00991B29" w14:paraId="3105DEE4" w14:textId="77777777" w:rsidTr="001B5504">
        <w:trPr>
          <w:jc w:val="center"/>
        </w:trPr>
        <w:tc>
          <w:tcPr>
            <w:tcW w:w="1650" w:type="pct"/>
            <w:vAlign w:val="center"/>
          </w:tcPr>
          <w:p w14:paraId="2DF8B210"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lastRenderedPageBreak/>
              <w:t>Bibliografia (della tomba)</w:t>
            </w:r>
          </w:p>
        </w:tc>
        <w:tc>
          <w:tcPr>
            <w:tcW w:w="3350" w:type="pct"/>
            <w:vAlign w:val="center"/>
          </w:tcPr>
          <w:p w14:paraId="38D3D101" w14:textId="35003012" w:rsidR="001B5504" w:rsidRPr="00991B29" w:rsidRDefault="00273720" w:rsidP="00BF212E">
            <w:pPr>
              <w:jc w:val="center"/>
              <w:rPr>
                <w:rFonts w:ascii="Titillium Web" w:hAnsi="Titillium Web"/>
                <w:szCs w:val="24"/>
              </w:rPr>
            </w:pPr>
            <w:r>
              <w:rPr>
                <w:rFonts w:ascii="Titillium Web" w:hAnsi="Titillium Web"/>
                <w:szCs w:val="24"/>
              </w:rPr>
              <w:t>/</w:t>
            </w:r>
          </w:p>
        </w:tc>
      </w:tr>
      <w:tr w:rsidR="001B5504" w:rsidRPr="00991B29" w14:paraId="6887A6E3" w14:textId="77777777" w:rsidTr="001B5504">
        <w:trPr>
          <w:jc w:val="center"/>
        </w:trPr>
        <w:tc>
          <w:tcPr>
            <w:tcW w:w="1650" w:type="pct"/>
            <w:vAlign w:val="center"/>
          </w:tcPr>
          <w:p w14:paraId="4944AE43" w14:textId="77777777" w:rsidR="001B5504" w:rsidRPr="00991B29" w:rsidRDefault="001B5504" w:rsidP="00BF212E">
            <w:pPr>
              <w:jc w:val="center"/>
              <w:rPr>
                <w:rFonts w:ascii="Titillium Web" w:hAnsi="Titillium Web"/>
                <w:smallCaps/>
                <w:szCs w:val="24"/>
              </w:rPr>
            </w:pPr>
            <w:r w:rsidRPr="00991B29">
              <w:rPr>
                <w:rFonts w:ascii="Titillium Web" w:hAnsi="Titillium Web"/>
                <w:smallCaps/>
                <w:szCs w:val="24"/>
              </w:rPr>
              <w:t>Link alla pubblicazione</w:t>
            </w:r>
          </w:p>
        </w:tc>
        <w:tc>
          <w:tcPr>
            <w:tcW w:w="3350" w:type="pct"/>
            <w:vAlign w:val="center"/>
          </w:tcPr>
          <w:p w14:paraId="6ADE2D95" w14:textId="5EBDA977" w:rsidR="001B5504" w:rsidRPr="00991B29"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B5504"/>
    <w:rsid w:val="001F2833"/>
    <w:rsid w:val="00273720"/>
    <w:rsid w:val="0029024B"/>
    <w:rsid w:val="002977D7"/>
    <w:rsid w:val="002F1500"/>
    <w:rsid w:val="00472AF4"/>
    <w:rsid w:val="005B5AFF"/>
    <w:rsid w:val="0068458A"/>
    <w:rsid w:val="00710B38"/>
    <w:rsid w:val="007145BC"/>
    <w:rsid w:val="007D54CD"/>
    <w:rsid w:val="00942E70"/>
    <w:rsid w:val="00943EAC"/>
    <w:rsid w:val="00950348"/>
    <w:rsid w:val="00975CA9"/>
    <w:rsid w:val="00991B29"/>
    <w:rsid w:val="00997946"/>
    <w:rsid w:val="009E44D0"/>
    <w:rsid w:val="009E4922"/>
    <w:rsid w:val="00A52A70"/>
    <w:rsid w:val="00A65B85"/>
    <w:rsid w:val="00B165C4"/>
    <w:rsid w:val="00B86B2D"/>
    <w:rsid w:val="00BE2CB2"/>
    <w:rsid w:val="00BE63CC"/>
    <w:rsid w:val="00BF212E"/>
    <w:rsid w:val="00C21EE0"/>
    <w:rsid w:val="00C30F5C"/>
    <w:rsid w:val="00CC46E5"/>
    <w:rsid w:val="00D22CAE"/>
    <w:rsid w:val="00D54723"/>
    <w:rsid w:val="00DB1668"/>
    <w:rsid w:val="00DD4ED2"/>
    <w:rsid w:val="00E052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218</Words>
  <Characters>1248</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14</cp:revision>
  <dcterms:created xsi:type="dcterms:W3CDTF">2026-04-28T14:33:00Z</dcterms:created>
  <dcterms:modified xsi:type="dcterms:W3CDTF">2026-05-18T08:32:00Z</dcterms:modified>
</cp:coreProperties>
</file>