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631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17CB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17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7CB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17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7CB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B17CB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17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7CB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17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7CB3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B17CB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17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7CB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17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7CB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17CB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17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7CB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17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7CB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17CB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17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7CB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17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7CB3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B17CB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17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7CB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17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7CB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17CB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17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7CB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17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7CB3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B17CB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17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7CB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17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7CB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17CB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17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7CB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E367327" w14:textId="77777777" w:rsidR="00363148" w:rsidRPr="00B17CB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7CB3">
              <w:rPr>
                <w:rFonts w:ascii="Titillium Web" w:hAnsi="Titillium Web"/>
                <w:i/>
                <w:iCs/>
                <w:szCs w:val="24"/>
              </w:rPr>
              <w:t>Tomba 631 umata.</w:t>
            </w:r>
          </w:p>
          <w:p w14:paraId="19EC6D19" w14:textId="77777777" w:rsidR="00363148" w:rsidRPr="00B17CB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7CB3">
              <w:rPr>
                <w:rFonts w:ascii="Titillium Web" w:hAnsi="Titillium Web"/>
                <w:i/>
                <w:iCs/>
                <w:szCs w:val="24"/>
              </w:rPr>
              <w:t>A m. 79.50 dal B, a m. 3.70 a sud della linea del nuovo scavo e a m. 1.05 di profondità poggiava:</w:t>
            </w:r>
          </w:p>
          <w:p w14:paraId="1E2207F7" w14:textId="77777777" w:rsidR="00363148" w:rsidRPr="00B17CB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7CB3">
              <w:rPr>
                <w:rFonts w:ascii="Titillium Web" w:hAnsi="Titillium Web"/>
                <w:i/>
                <w:iCs/>
                <w:szCs w:val="24"/>
              </w:rPr>
              <w:t>1 scheletro sconvolto (in parte); si poté desumere dalla posizione del cranio e dalla estremità delle gambe che l’orientazione poteva essere NO-N e S-SE.</w:t>
            </w:r>
          </w:p>
          <w:p w14:paraId="1A9844D5" w14:textId="77777777" w:rsidR="00363148" w:rsidRPr="00B17CB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7CB3">
              <w:rPr>
                <w:rFonts w:ascii="Titillium Web" w:hAnsi="Titillium Web"/>
                <w:i/>
                <w:iCs/>
                <w:szCs w:val="24"/>
              </w:rPr>
              <w:t>A destra del cranio erano:</w:t>
            </w:r>
          </w:p>
          <w:p w14:paraId="5E955866" w14:textId="77777777" w:rsidR="00363148" w:rsidRPr="00B17CB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7CB3">
              <w:rPr>
                <w:rFonts w:ascii="Titillium Web" w:hAnsi="Titillium Web"/>
                <w:i/>
                <w:iCs/>
                <w:szCs w:val="24"/>
              </w:rPr>
              <w:t>2 oinocoi a forma ovoidale, con bocca trilobata a vern. nera e grande testa femminile fra due</w:t>
            </w:r>
          </w:p>
          <w:p w14:paraId="226D23AA" w14:textId="77777777" w:rsidR="00363148" w:rsidRPr="00B17CB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7CB3">
              <w:rPr>
                <w:rFonts w:ascii="Titillium Web" w:hAnsi="Titillium Web"/>
                <w:i/>
                <w:iCs/>
                <w:szCs w:val="24"/>
              </w:rPr>
              <w:t>grifi: sono interi</w:t>
            </w:r>
          </w:p>
          <w:p w14:paraId="4FFDE5BB" w14:textId="77777777" w:rsidR="00363148" w:rsidRPr="00B17CB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7CB3">
              <w:rPr>
                <w:rFonts w:ascii="Titillium Web" w:hAnsi="Titillium Web"/>
                <w:i/>
                <w:iCs/>
                <w:szCs w:val="24"/>
              </w:rPr>
              <w:t>1 kotylos schiacciato con disegni di palmette e spirali irricomponibile -</w:t>
            </w:r>
          </w:p>
          <w:p w14:paraId="5A6320E2" w14:textId="77777777" w:rsidR="00363148" w:rsidRPr="00B17CB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17CB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17CB3">
              <w:rPr>
                <w:rFonts w:ascii="Titillium Web" w:hAnsi="Titillium Web"/>
                <w:i/>
                <w:iCs/>
                <w:szCs w:val="24"/>
              </w:rPr>
              <w:t xml:space="preserve"> tazze a vern. nera, con palmette impresse e ovoli. una in frammenti.</w:t>
            </w:r>
          </w:p>
          <w:p w14:paraId="27F151CC" w14:textId="77777777" w:rsidR="00363148" w:rsidRPr="00B17CB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7CB3">
              <w:rPr>
                <w:rFonts w:ascii="Titillium Web" w:hAnsi="Titillium Web"/>
                <w:i/>
                <w:iCs/>
                <w:szCs w:val="24"/>
              </w:rPr>
              <w:t>1 scodellino con pieduccio, a vern. n. intero nell’interno reca grafito: [ndr: presente il disegno del graffito]</w:t>
            </w:r>
          </w:p>
          <w:p w14:paraId="6FDBD4D3" w14:textId="77777777" w:rsidR="00363148" w:rsidRPr="00B17CB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17CB3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B17CB3">
              <w:rPr>
                <w:rFonts w:ascii="Titillium Web" w:hAnsi="Titillium Web"/>
                <w:i/>
                <w:iCs/>
                <w:szCs w:val="24"/>
              </w:rPr>
              <w:t xml:space="preserve"> piattelli comuni, grezzi (uno frammentato)</w:t>
            </w:r>
          </w:p>
          <w:p w14:paraId="5F809B0F" w14:textId="77777777" w:rsidR="00363148" w:rsidRPr="00B17CB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7CB3">
              <w:rPr>
                <w:rFonts w:ascii="Titillium Web" w:hAnsi="Titillium Web"/>
                <w:i/>
                <w:iCs/>
                <w:szCs w:val="24"/>
              </w:rPr>
              <w:t>con grafito nel fondello [ndr: presente il disegno del graffito]</w:t>
            </w:r>
          </w:p>
          <w:p w14:paraId="63C98AC1" w14:textId="77777777" w:rsidR="00363148" w:rsidRPr="00B17CB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7CB3">
              <w:rPr>
                <w:rFonts w:ascii="Titillium Web" w:hAnsi="Titillium Web"/>
                <w:i/>
                <w:iCs/>
                <w:szCs w:val="24"/>
              </w:rPr>
              <w:t>Si raccolse anche un frammento informe di bronzo.</w:t>
            </w:r>
          </w:p>
        </w:tc>
      </w:tr>
      <w:tr w:rsidR="0086297F" w:rsidRPr="00B17CB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17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7CB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17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7CB3">
              <w:rPr>
                <w:rFonts w:ascii="Titillium Web" w:hAnsi="Titillium Web"/>
                <w:szCs w:val="24"/>
              </w:rPr>
              <w:t>Presso la testa</w:t>
            </w:r>
          </w:p>
        </w:tc>
      </w:tr>
      <w:tr w:rsidR="0086297F" w:rsidRPr="00B17CB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17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7CB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17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7C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17CB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17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7CB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17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7C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17CB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17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7CB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17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7C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17CB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17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7CB3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45DCF511" w14:textId="77777777" w:rsidR="00363148" w:rsidRPr="00B17CB3" w:rsidRDefault="00000000" w:rsidP="00B17CB3">
            <w:pPr>
              <w:jc w:val="center"/>
              <w:rPr>
                <w:rFonts w:ascii="Titillium Web" w:hAnsi="Titillium Web"/>
                <w:szCs w:val="24"/>
              </w:rPr>
            </w:pPr>
            <w:r w:rsidRPr="00B17CB3">
              <w:rPr>
                <w:rFonts w:ascii="Titillium Web" w:eastAsia="Titillium" w:hAnsi="Titillium Web" w:cs="Titillium"/>
                <w:smallCaps/>
                <w:szCs w:val="24"/>
              </w:rPr>
              <w:t>Pozzi 2011; Trevisanello</w:t>
            </w:r>
            <w:r w:rsidRPr="00B17CB3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D514D"/>
    <w:rsid w:val="00363148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17CB3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2026-05-14T19:28:00Z</dcterms:modified>
</cp:coreProperties>
</file>