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642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C404A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C404A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C404A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C404A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C404A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1,35 m</w:t>
            </w:r>
          </w:p>
        </w:tc>
      </w:tr>
      <w:tr w:rsidR="0086297F" w:rsidRPr="00C404A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C404A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C404A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C404A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920A28E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Tomba 642 a umazione</w:t>
            </w:r>
          </w:p>
          <w:p w14:paraId="7409284E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(in parte sconvolta)</w:t>
            </w:r>
          </w:p>
          <w:p w14:paraId="1E5C28F5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Quivi era una buca fatta dai</w:t>
            </w:r>
            <w:r w:rsidRPr="00C404A7">
              <w:rPr>
                <w:rFonts w:ascii="Titillium Web" w:hAnsi="Titillium Web"/>
                <w:i/>
                <w:iCs/>
                <w:szCs w:val="24"/>
              </w:rPr>
              <w:t xml:space="preserve"> scavatori clandestini, la quale arrivava fino alla tomba: fu sconvolta la parte che attraversa diagonalmente lo scheletro ove si rinvennero frammenti di diversi vasetti</w:t>
            </w:r>
          </w:p>
          <w:p w14:paraId="509BF2C7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A m. 101 dal B, a m. 7,25 a sud della linea dello scavo... a m. 1,35 di profondità giace uno scheletro scomposto in parte; la testa e le estremità delle gambe sono a posto e l’orientazione a NO-N, S-SE gradi 325 circa.</w:t>
            </w:r>
          </w:p>
          <w:p w14:paraId="09BDA9D7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Nella parte sconvolta che traversa per metà lo scheletro si rinvengono fram.ti di kotylos, di tazzette e di piatti a v.n. e cipree forate.</w:t>
            </w:r>
          </w:p>
          <w:p w14:paraId="4C296603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Presso la testa dello scheletro (a destra)</w:t>
            </w:r>
          </w:p>
          <w:p w14:paraId="6B3B50D0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anfora vinaria pontuta, grande di tipo arcaico.</w:t>
            </w:r>
          </w:p>
          <w:p w14:paraId="5D981F97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sotto l’anfora:</w:t>
            </w:r>
          </w:p>
          <w:p w14:paraId="3000D094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oinocoe a bocca trilobata, a fig. rosse, di buon disegno, intero (figura di giovine ammantato che offre un frutto ad altro giovine)</w:t>
            </w:r>
          </w:p>
          <w:p w14:paraId="2A4E86BF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lucernina con foro pervio, a ver. n. con ansa rotta.</w:t>
            </w:r>
          </w:p>
          <w:p w14:paraId="21942415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piccolo oinocoe a ver. n., slabbrato e senz’ansa.</w:t>
            </w:r>
          </w:p>
          <w:p w14:paraId="4B38F32C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Presso la mano sinistra si rinvennero:</w:t>
            </w:r>
          </w:p>
          <w:p w14:paraId="62D5CC01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manico di cistarella, di bronzo</w:t>
            </w:r>
          </w:p>
          <w:p w14:paraId="3F002738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manico di strigile di bronzo</w:t>
            </w:r>
          </w:p>
          <w:p w14:paraId="03ED558E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2</w:t>
            </w:r>
            <w:r w:rsidRPr="00C404A7">
              <w:rPr>
                <w:rFonts w:ascii="Titillium Web" w:hAnsi="Titillium Web"/>
                <w:i/>
                <w:iCs/>
                <w:szCs w:val="24"/>
              </w:rPr>
              <w:t xml:space="preserve"> fibule mancanti dell’ago e della staffa (tipo Certosa)</w:t>
            </w:r>
          </w:p>
          <w:p w14:paraId="42F7E3A1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lastRenderedPageBreak/>
              <w:t>1 anello di bronzo troncoconico, di fettuccia.</w:t>
            </w:r>
          </w:p>
          <w:p w14:paraId="3AE4766C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oggetto di bronzo, lungo e sottile, (ago?)</w:t>
            </w:r>
          </w:p>
          <w:p w14:paraId="699FEC64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pezzo informe di piombo</w:t>
            </w:r>
          </w:p>
          <w:p w14:paraId="373CAC65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sullo sterno dello scheletro ove era arrivato lo scavo</w:t>
            </w:r>
          </w:p>
          <w:p w14:paraId="2DAE6008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abusivo si rinvennero diversi frammenti di</w:t>
            </w:r>
          </w:p>
          <w:p w14:paraId="15A6D55F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*1 kotylos con disegni di palmette, di losanghe e un giro presso l’orlo di foglie di edera (nere) legate a un gambo che doveva essere dipinto</w:t>
            </w:r>
          </w:p>
          <w:p w14:paraId="3C545569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6 o 7 cipree forate</w:t>
            </w:r>
          </w:p>
          <w:p w14:paraId="0A5D63F5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e frammenti di tazzette e piatti a vern. nera</w:t>
            </w:r>
          </w:p>
          <w:p w14:paraId="3BD05411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*nel fondello del kotylos, grafite [ndr: presente il disegno delle lettere graffite]</w:t>
            </w:r>
          </w:p>
          <w:p w14:paraId="4235F481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1 tazza apoda, a vern. n., intera, avente nel fondo</w:t>
            </w:r>
          </w:p>
          <w:p w14:paraId="2AF1DB05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un’anfora puntata dipinta in nero</w:t>
            </w:r>
          </w:p>
          <w:p w14:paraId="1B6C26B6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pochi frammenti di una piccola tazzetta kotyloide con coperchio e decorazioni di meandri</w:t>
            </w:r>
          </w:p>
          <w:p w14:paraId="1F15CA11" w14:textId="77777777" w:rsidR="00D51B0A" w:rsidRPr="00C404A7" w:rsidRDefault="00655CE7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C404A7">
              <w:rPr>
                <w:rFonts w:ascii="Titillium Web" w:hAnsi="Titillium Web"/>
                <w:i/>
                <w:iCs/>
                <w:szCs w:val="24"/>
              </w:rPr>
              <w:t>su argilla chiara –</w:t>
            </w:r>
          </w:p>
        </w:tc>
      </w:tr>
      <w:tr w:rsidR="0086297F" w:rsidRPr="00C404A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5FEE6BE5" w:rsidR="0086297F" w:rsidRPr="00C404A7" w:rsidRDefault="00FC3E3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C3E3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C404A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04A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04A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C404A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C404A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C404A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C404A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1F5BFA0" w14:textId="77777777" w:rsidR="00D51B0A" w:rsidRPr="00C404A7" w:rsidRDefault="00655CE7" w:rsidP="00C404A7">
            <w:pPr>
              <w:jc w:val="center"/>
              <w:rPr>
                <w:rFonts w:ascii="Titillium Web" w:hAnsi="Titillium Web"/>
                <w:szCs w:val="24"/>
              </w:rPr>
            </w:pPr>
            <w:r w:rsidRPr="00C404A7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C404A7">
              <w:rPr>
                <w:rFonts w:ascii="Titillium Web" w:eastAsia="Titillium" w:hAnsi="Titillium Web" w:cs="Titillium"/>
                <w:szCs w:val="24"/>
              </w:rPr>
              <w:t xml:space="preserve"> 1991, pp. 28-30; </w:t>
            </w:r>
            <w:r w:rsidRPr="00C404A7">
              <w:rPr>
                <w:rFonts w:ascii="Titillium Web" w:eastAsia="Titillium" w:hAnsi="Titillium Web" w:cs="Titillium"/>
                <w:smallCaps/>
                <w:szCs w:val="24"/>
              </w:rPr>
              <w:t>Desantis</w:t>
            </w:r>
            <w:r w:rsidRPr="00C404A7">
              <w:rPr>
                <w:rFonts w:ascii="Titillium Web" w:eastAsia="Titillium" w:hAnsi="Titillium Web" w:cs="Titillium"/>
                <w:szCs w:val="24"/>
              </w:rPr>
              <w:t xml:space="preserve"> 1993a, p. 158; </w:t>
            </w:r>
            <w:r w:rsidRPr="00C404A7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C404A7">
              <w:rPr>
                <w:rFonts w:ascii="Titillium Web" w:eastAsia="Titillium" w:hAnsi="Titillium Web" w:cs="Titillium"/>
                <w:szCs w:val="24"/>
              </w:rPr>
              <w:t xml:space="preserve"> 2001, pp. 116-117, n. 286; </w:t>
            </w:r>
            <w:r w:rsidRPr="00C404A7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C404A7">
              <w:rPr>
                <w:rFonts w:ascii="Titillium Web" w:eastAsia="Titillium" w:hAnsi="Titillium Web" w:cs="Titillium"/>
                <w:szCs w:val="24"/>
              </w:rPr>
              <w:t xml:space="preserve"> 2024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70E8C"/>
    <w:rsid w:val="00472AF4"/>
    <w:rsid w:val="00551AF8"/>
    <w:rsid w:val="005B5AFF"/>
    <w:rsid w:val="006162A4"/>
    <w:rsid w:val="006346F7"/>
    <w:rsid w:val="006A1F47"/>
    <w:rsid w:val="006D6EFB"/>
    <w:rsid w:val="007145BC"/>
    <w:rsid w:val="0086297F"/>
    <w:rsid w:val="009E4922"/>
    <w:rsid w:val="00AB321D"/>
    <w:rsid w:val="00B165C4"/>
    <w:rsid w:val="00C21EE0"/>
    <w:rsid w:val="00C404A7"/>
    <w:rsid w:val="00D51B0A"/>
    <w:rsid w:val="00D900AB"/>
    <w:rsid w:val="00D936E8"/>
    <w:rsid w:val="00E24633"/>
    <w:rsid w:val="00FC3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372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2026-05-15T10:16:00Z</dcterms:modified>
</cp:coreProperties>
</file>