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F014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F014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F014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F014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6F014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1,08 m</w:t>
            </w:r>
          </w:p>
        </w:tc>
      </w:tr>
      <w:tr w:rsidR="0086297F" w:rsidRPr="006F014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F014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W-NW</w:t>
            </w:r>
          </w:p>
        </w:tc>
      </w:tr>
      <w:tr w:rsidR="0086297F" w:rsidRPr="006F014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F014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BC6A5C0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Tomba 652 a umazione</w:t>
            </w:r>
          </w:p>
          <w:p w14:paraId="5ED16940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 xml:space="preserve">A m. 95 dal B, a m. 10,25 a sud della linea di scavo, a m. 1,08 di prof.tà si rinviene una tomba a </w:t>
            </w:r>
            <w:proofErr w:type="gramStart"/>
            <w:r w:rsidRPr="006F0146">
              <w:rPr>
                <w:rFonts w:ascii="Titillium Web" w:hAnsi="Titillium Web"/>
                <w:i/>
                <w:iCs/>
                <w:szCs w:val="24"/>
              </w:rPr>
              <w:t>umazione</w:t>
            </w:r>
            <w:proofErr w:type="gramEnd"/>
            <w:r w:rsidRPr="006F0146">
              <w:rPr>
                <w:rFonts w:ascii="Titillium Web" w:hAnsi="Titillium Web"/>
                <w:i/>
                <w:iCs/>
                <w:szCs w:val="24"/>
              </w:rPr>
              <w:t xml:space="preserve"> Il cranio è ruzzolato sul petto dello scheletro, presso il bacino</w:t>
            </w:r>
          </w:p>
          <w:p w14:paraId="22BFA66D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Lo scheletro è orientato da O-NO (gradi 320).</w:t>
            </w:r>
          </w:p>
          <w:p w14:paraId="2D6065D6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Sul petto si rinvennero:</w:t>
            </w:r>
          </w:p>
          <w:p w14:paraId="662F8C18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15 ambre per collanina, con foro pervio. 5 sono a forma di pendaglio e le altre a grani discoidali.</w:t>
            </w:r>
          </w:p>
          <w:p w14:paraId="491E6E41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Presso alle spalle</w:t>
            </w:r>
          </w:p>
          <w:p w14:paraId="2F787EEB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F014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F0146">
              <w:rPr>
                <w:rFonts w:ascii="Titillium Web" w:hAnsi="Titillium Web"/>
                <w:i/>
                <w:iCs/>
                <w:szCs w:val="24"/>
              </w:rPr>
              <w:t xml:space="preserve"> fibule di bronzo, serpeggianti con grande disco, son in frammenti e marcite.</w:t>
            </w:r>
          </w:p>
          <w:p w14:paraId="3CA9C5E7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581A022A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2 oinocoi a forma di brocca (attici) a vern. n. con figure rosse di buon disegno: uno reca sul collo zone di palmette rosse e nere alternate, l’altro una testa fem.le e nel ventre figure di amazzoni. Uno di essi è leggermente slabbrato</w:t>
            </w:r>
          </w:p>
          <w:p w14:paraId="78D1D787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1 lucernina discoidale con ansa verticale e due figurine di animali: è intera</w:t>
            </w:r>
          </w:p>
          <w:p w14:paraId="254640D1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1 piccolo kotylos troncoconico con disegno (sul fondo rosso) di foglie e di civetta; intero e male conservato.</w:t>
            </w:r>
          </w:p>
          <w:p w14:paraId="133165A0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1 aryballos a vern. n. a fig. rosse di donna che offre una cassettina - intero</w:t>
            </w:r>
          </w:p>
          <w:p w14:paraId="69145A7A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1 aryballos piccolino con testa femminile (rossa) manca del beccuccio -</w:t>
            </w:r>
          </w:p>
          <w:p w14:paraId="4CDFF2BB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lastRenderedPageBreak/>
              <w:t>1 kotylos a fig. rosse di disegno disinvolto, assai male conservato: in frammenti -</w:t>
            </w:r>
          </w:p>
          <w:p w14:paraId="466FC5CD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1 tazzina a v.n. apoda, con un’ansa: in frammenti</w:t>
            </w:r>
          </w:p>
          <w:p w14:paraId="49042975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F0146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6F0146">
              <w:rPr>
                <w:rFonts w:ascii="Titillium Web" w:hAnsi="Titillium Web"/>
                <w:i/>
                <w:iCs/>
                <w:szCs w:val="24"/>
              </w:rPr>
              <w:t xml:space="preserve"> tazze a vern. n. fra grandi e piccole, in frammenti due di esse recano impressioni di palmette e ovoli</w:t>
            </w:r>
          </w:p>
          <w:p w14:paraId="3FB73B21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1 piccola lekane di argilla giallo chiara, grezza. È un coperchio; è completamente marcita.</w:t>
            </w:r>
          </w:p>
          <w:p w14:paraId="736441B8" w14:textId="77777777" w:rsidR="000E6578" w:rsidRPr="006F0146" w:rsidRDefault="008237B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0146">
              <w:rPr>
                <w:rFonts w:ascii="Titillium Web" w:hAnsi="Titillium Web"/>
                <w:i/>
                <w:iCs/>
                <w:szCs w:val="24"/>
              </w:rPr>
              <w:t>Si notarono traccie evidenti del legno della cassa.</w:t>
            </w:r>
          </w:p>
        </w:tc>
      </w:tr>
      <w:tr w:rsidR="0086297F" w:rsidRPr="006F014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F014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014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014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F01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6F014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F01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14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83A1CCA" w14:textId="77777777" w:rsidR="000E6578" w:rsidRPr="006F0146" w:rsidRDefault="008237B0" w:rsidP="006F0146">
            <w:pPr>
              <w:jc w:val="center"/>
              <w:rPr>
                <w:rFonts w:ascii="Titillium Web" w:hAnsi="Titillium Web"/>
                <w:szCs w:val="24"/>
              </w:rPr>
            </w:pPr>
            <w:r w:rsidRPr="006F014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F014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6578"/>
    <w:rsid w:val="001C17CC"/>
    <w:rsid w:val="002977D7"/>
    <w:rsid w:val="00472AF4"/>
    <w:rsid w:val="00551AF8"/>
    <w:rsid w:val="005B5AFF"/>
    <w:rsid w:val="00610176"/>
    <w:rsid w:val="006162A4"/>
    <w:rsid w:val="006346F7"/>
    <w:rsid w:val="006D6EFB"/>
    <w:rsid w:val="006F0146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2026-05-14T19:15:00Z</dcterms:modified>
</cp:coreProperties>
</file>