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C6A5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C6A5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C6A5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C6A5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C6A5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/ m</w:t>
            </w:r>
          </w:p>
        </w:tc>
      </w:tr>
      <w:tr w:rsidR="0086297F" w:rsidRPr="005C6A5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C6A5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C6A5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C6A5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EC96B1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>Tomba 665 a umazione (sconvolta)</w:t>
            </w:r>
          </w:p>
          <w:p w14:paraId="315DAF29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A m. 49 dal B, a m 12,40 a sud della linea… a m 1,03 di profondità si rinviene una tomba con scheletro sconvolto. Dalla posizione del cranio e dalle estremità delle gambe si può arguire che fosse orientato da NO a </w:t>
            </w:r>
            <w:proofErr w:type="gramStart"/>
            <w:r w:rsidRPr="005C6A55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5C6A55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72158DD6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>Presso il lato destro dello scheletro si rinvennero:</w:t>
            </w:r>
          </w:p>
          <w:p w14:paraId="3FEF31B2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5C6A55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 a forma di fiasca, a ver. nera, con bocca trilobata e con striature verticali impresse sul corpo: è intera</w:t>
            </w:r>
          </w:p>
          <w:p w14:paraId="56524351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2 kotylai imbutiformi, piccoli, a </w:t>
            </w:r>
            <w:proofErr w:type="spellStart"/>
            <w:r w:rsidRPr="005C6A55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5C6A55">
              <w:rPr>
                <w:rFonts w:ascii="Titillium Web" w:hAnsi="Titillium Web"/>
                <w:i/>
                <w:iCs/>
                <w:szCs w:val="24"/>
              </w:rPr>
              <w:t>. n. scadute. Sono interi</w:t>
            </w:r>
          </w:p>
          <w:p w14:paraId="2CED6979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6A5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 balsamari di cotto, tipo alabastron, di argilla giallo chiara, grezzi e interi</w:t>
            </w:r>
          </w:p>
          <w:p w14:paraId="2AF401C7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5C6A55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 a ventre ovoidale, con lungo collo e ansa verticale, di argilla giallo chiara, grezzo e intero</w:t>
            </w:r>
          </w:p>
          <w:p w14:paraId="6DF4F952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>1 testina di bustino in cotto, delle solite figure femminili: a mezzo rilievo.</w:t>
            </w:r>
          </w:p>
          <w:p w14:paraId="6A0DAA4F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6A55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 tazzette a </w:t>
            </w:r>
            <w:proofErr w:type="spellStart"/>
            <w:r w:rsidRPr="005C6A55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5C6A55">
              <w:rPr>
                <w:rFonts w:ascii="Titillium Web" w:hAnsi="Titillium Web"/>
                <w:i/>
                <w:iCs/>
                <w:szCs w:val="24"/>
              </w:rPr>
              <w:t>. n. scadente, una con i gusci di uovo e una frammentata</w:t>
            </w:r>
          </w:p>
          <w:p w14:paraId="294B8BB7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1 piattello comune a </w:t>
            </w:r>
            <w:proofErr w:type="spellStart"/>
            <w:r w:rsidRPr="005C6A55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5C6A55">
              <w:rPr>
                <w:rFonts w:ascii="Titillium Web" w:hAnsi="Titillium Web"/>
                <w:i/>
                <w:iCs/>
                <w:szCs w:val="24"/>
              </w:rPr>
              <w:t>. n. scadente</w:t>
            </w:r>
          </w:p>
          <w:p w14:paraId="523BBE5A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6A55">
              <w:rPr>
                <w:rFonts w:ascii="Titillium Web" w:hAnsi="Titillium Web"/>
                <w:i/>
                <w:iCs/>
                <w:szCs w:val="24"/>
              </w:rPr>
              <w:t>1 frammento informe di bronzo (era nella destra dello scheletro)</w:t>
            </w:r>
          </w:p>
          <w:p w14:paraId="5902587D" w14:textId="77777777" w:rsidR="001539E3" w:rsidRPr="005C6A55" w:rsidRDefault="0039166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6A5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C6A55">
              <w:rPr>
                <w:rFonts w:ascii="Titillium Web" w:hAnsi="Titillium Web"/>
                <w:i/>
                <w:iCs/>
                <w:szCs w:val="24"/>
              </w:rPr>
              <w:t xml:space="preserve"> piccoli grani di ambra</w:t>
            </w:r>
          </w:p>
        </w:tc>
      </w:tr>
      <w:tr w:rsidR="0086297F" w:rsidRPr="005C6A5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C6A5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C6A55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5C6A5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C6A55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5C6A5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C6A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6A5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C6A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6A5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A098C6D" w14:textId="3B35B94E" w:rsidR="001539E3" w:rsidRPr="005C6A55" w:rsidRDefault="00391664" w:rsidP="005C6A55">
            <w:pPr>
              <w:jc w:val="center"/>
              <w:rPr>
                <w:rFonts w:ascii="Titillium Web" w:hAnsi="Titillium Web"/>
                <w:szCs w:val="24"/>
              </w:rPr>
            </w:pPr>
            <w:r w:rsidRPr="005C6A55">
              <w:rPr>
                <w:rFonts w:ascii="Titillium Web" w:eastAsia="Titillium" w:hAnsi="Titillium Web" w:cs="Titillium"/>
                <w:smallCaps/>
                <w:szCs w:val="24"/>
              </w:rPr>
              <w:t>Poggio</w:t>
            </w:r>
            <w:r w:rsidRPr="005C6A55">
              <w:rPr>
                <w:rFonts w:ascii="Titillium Web" w:eastAsia="Titillium" w:hAnsi="Titillium Web" w:cs="Titillium"/>
                <w:szCs w:val="24"/>
              </w:rPr>
              <w:t xml:space="preserve"> 1974</w:t>
            </w:r>
            <w:r w:rsidR="00D44851">
              <w:rPr>
                <w:rFonts w:ascii="Titillium Web" w:eastAsia="Titillium" w:hAnsi="Titillium Web" w:cs="Titillium"/>
                <w:szCs w:val="24"/>
              </w:rPr>
              <w:t>,</w:t>
            </w:r>
            <w:r w:rsidRPr="005C6A55">
              <w:rPr>
                <w:rFonts w:ascii="Titillium Web" w:eastAsia="Titillium" w:hAnsi="Titillium Web" w:cs="Titillium"/>
                <w:szCs w:val="24"/>
              </w:rPr>
              <w:t xml:space="preserve"> pp. 113-114; </w:t>
            </w:r>
            <w:r w:rsidRPr="005C6A5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C6A55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5C6A5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C6A55">
              <w:rPr>
                <w:rFonts w:ascii="Titillium Web" w:eastAsia="Titillium" w:hAnsi="Titillium Web" w:cs="Titillium"/>
                <w:szCs w:val="24"/>
              </w:rPr>
              <w:t xml:space="preserve"> 2025, p. 240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539E3"/>
    <w:rsid w:val="001C17CC"/>
    <w:rsid w:val="002943A8"/>
    <w:rsid w:val="002977D7"/>
    <w:rsid w:val="00472AF4"/>
    <w:rsid w:val="00551AF8"/>
    <w:rsid w:val="005B5AFF"/>
    <w:rsid w:val="005C6A55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44851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2026-05-18T15:25:00Z</dcterms:modified>
</cp:coreProperties>
</file>