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7702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7702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7702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7702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67702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67702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7702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67702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7702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6D39507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Tomba 674 a cremazione</w:t>
            </w:r>
          </w:p>
          <w:p w14:paraId="2E092607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(con traccie di cassa di legno)</w:t>
            </w:r>
          </w:p>
          <w:p w14:paraId="3004B761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A m. 45,50 dal B, a m. 20,60 a sud della linea del nuovo scavo, a m. 1,20 di profondità giaceva</w:t>
            </w:r>
          </w:p>
          <w:p w14:paraId="3FFBE01A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uno scheletro orientato da Ovest a Est</w:t>
            </w:r>
          </w:p>
          <w:p w14:paraId="3CD11372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Sopra allo scheletro si raccolsero i seguenti fittili</w:t>
            </w:r>
          </w:p>
          <w:p w14:paraId="3BE3D9A0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1 oinocoe a forma di fiasca, con bocca trilobata a vern. nera scadente; intero</w:t>
            </w:r>
          </w:p>
          <w:p w14:paraId="2F20A778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7702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7702E">
              <w:rPr>
                <w:rFonts w:ascii="Titillium Web" w:hAnsi="Titillium Web"/>
                <w:i/>
                <w:iCs/>
                <w:szCs w:val="24"/>
              </w:rPr>
              <w:t xml:space="preserve"> grandi kotylai emisferici, a vern. n. scadente. (uno in molti frammenti e l’altro in due pezzi)</w:t>
            </w:r>
          </w:p>
          <w:p w14:paraId="12C55FFE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1 lucernina a corpo emisferisco, con ansa orizzontale e a vern. n. scadente: intera</w:t>
            </w:r>
          </w:p>
          <w:p w14:paraId="39004BFF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1 oinocoe a forma di fiasca con beccuccio verticale a vern. nera scadente; intero</w:t>
            </w:r>
          </w:p>
          <w:p w14:paraId="5B703C5E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1 vasetto a forma skyphoide, senza anse e a vern. nera scadente: è intero</w:t>
            </w:r>
          </w:p>
          <w:p w14:paraId="7BC8CDF8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1 lekane in pezzi, con pennellate a zig-zag sul coperchio, di vern. bruno scura: restaurabile.</w:t>
            </w:r>
          </w:p>
          <w:p w14:paraId="61928B8B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7702E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7702E">
              <w:rPr>
                <w:rFonts w:ascii="Titillium Web" w:hAnsi="Titillium Web"/>
                <w:i/>
                <w:iCs/>
                <w:szCs w:val="24"/>
              </w:rPr>
              <w:t xml:space="preserve"> grandi piatti per pesce, a vern. nera scadente, di fattura tozza e pesante: interi</w:t>
            </w:r>
          </w:p>
          <w:p w14:paraId="4E00356D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7702E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67702E">
              <w:rPr>
                <w:rFonts w:ascii="Titillium Web" w:hAnsi="Titillium Web"/>
                <w:i/>
                <w:iCs/>
                <w:szCs w:val="24"/>
              </w:rPr>
              <w:t xml:space="preserve"> tazze a vern. nera scadente (una frammentata)</w:t>
            </w:r>
          </w:p>
          <w:p w14:paraId="790E7FF2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7702E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67702E">
              <w:rPr>
                <w:rFonts w:ascii="Titillium Web" w:hAnsi="Titillium Web"/>
                <w:i/>
                <w:iCs/>
                <w:szCs w:val="24"/>
              </w:rPr>
              <w:t xml:space="preserve"> piattelli con pieduccio, a vern. nera scadente interi -</w:t>
            </w:r>
          </w:p>
          <w:p w14:paraId="3C4F4F97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t>Sotto allo scheletro e ai vasi si notarono traccie di residui di legno della cassa?</w:t>
            </w:r>
          </w:p>
          <w:p w14:paraId="49AD2441" w14:textId="77777777" w:rsidR="005820D6" w:rsidRPr="0067702E" w:rsidRDefault="005820D6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254A7A2" w14:textId="77777777" w:rsidR="005820D6" w:rsidRPr="0067702E" w:rsidRDefault="0008008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7702E">
              <w:rPr>
                <w:rFonts w:ascii="Titillium Web" w:hAnsi="Titillium Web"/>
                <w:i/>
                <w:iCs/>
                <w:szCs w:val="24"/>
              </w:rPr>
              <w:lastRenderedPageBreak/>
              <w:t>A m. 2 a levante della precedente si rinvenne alla stessa profondità lo scheletro di un cane, orientato come lo sono di solito gli scheletri; nord ovest ...</w:t>
            </w:r>
          </w:p>
        </w:tc>
      </w:tr>
      <w:tr w:rsidR="0086297F" w:rsidRPr="0067702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67702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702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702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7702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7702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7702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7702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4AFB968" w14:textId="77777777" w:rsidR="005820D6" w:rsidRPr="0067702E" w:rsidRDefault="0008008B" w:rsidP="0067702E">
            <w:pPr>
              <w:jc w:val="center"/>
              <w:rPr>
                <w:rFonts w:ascii="Titillium Web" w:hAnsi="Titillium Web"/>
                <w:szCs w:val="24"/>
              </w:rPr>
            </w:pPr>
            <w:r w:rsidRPr="0067702E">
              <w:rPr>
                <w:rFonts w:ascii="Titillium Web" w:eastAsia="Titillium" w:hAnsi="Titillium Web" w:cs="Titillium"/>
                <w:smallCaps/>
                <w:szCs w:val="24"/>
              </w:rPr>
              <w:t>Poggio</w:t>
            </w:r>
            <w:r w:rsidRPr="0067702E">
              <w:rPr>
                <w:rFonts w:ascii="Titillium Web" w:eastAsia="Titillium" w:hAnsi="Titillium Web" w:cs="Titillium"/>
                <w:szCs w:val="24"/>
              </w:rPr>
              <w:t xml:space="preserve"> 1974, p. 88, tav. XXII, 1-2; </w:t>
            </w:r>
            <w:r w:rsidRPr="0067702E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7702E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820D6"/>
    <w:rsid w:val="005B5AFF"/>
    <w:rsid w:val="006162A4"/>
    <w:rsid w:val="006346F7"/>
    <w:rsid w:val="0067702E"/>
    <w:rsid w:val="006D6EFB"/>
    <w:rsid w:val="007145BC"/>
    <w:rsid w:val="0086297F"/>
    <w:rsid w:val="009E4922"/>
    <w:rsid w:val="00A45BC5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2026-05-14T18:49:00Z</dcterms:modified>
</cp:coreProperties>
</file>