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678</w:t>
      </w:r>
    </w:p>
    <w:tbl>
      <w:tblPr>
        <w:tblStyle w:val="Grigliatabella"/>
        <w:tblW w:w="5000" w:type="pct"/>
        <w:jc w:val="center"/>
        <w:tblLook w:val="04A0" w:firstRow="1" w:lastRow="0" w:firstColumn="1" w:lastColumn="0" w:noHBand="0" w:noVBand="1"/>
      </w:tblPr>
      <w:tblGrid>
        <w:gridCol w:w="2990"/>
        <w:gridCol w:w="6070"/>
      </w:tblGrid>
      <w:tr w:rsidR="0086297F" w:rsidRPr="00290AA8" w14:paraId="69604347" w14:textId="77777777" w:rsidTr="002665C6">
        <w:trPr>
          <w:jc w:val="center"/>
        </w:trPr>
        <w:tc>
          <w:tcPr>
            <w:tcW w:w="1650" w:type="pct"/>
            <w:vAlign w:val="center"/>
          </w:tcPr>
          <w:p w14:paraId="59258D49" w14:textId="77777777" w:rsidR="0086297F" w:rsidRPr="00290AA8" w:rsidRDefault="0086297F" w:rsidP="002665C6">
            <w:pPr>
              <w:jc w:val="center"/>
              <w:rPr>
                <w:rFonts w:ascii="Titillium Web" w:hAnsi="Titillium Web"/>
                <w:smallCaps/>
                <w:szCs w:val="24"/>
              </w:rPr>
            </w:pPr>
            <w:r w:rsidRPr="00290AA8">
              <w:rPr>
                <w:rFonts w:ascii="Titillium Web" w:hAnsi="Titillium Web"/>
                <w:smallCaps/>
                <w:szCs w:val="24"/>
              </w:rPr>
              <w:t>Anno di rinvenimento</w:t>
            </w:r>
          </w:p>
        </w:tc>
        <w:tc>
          <w:tcPr>
            <w:tcW w:w="3350" w:type="pct"/>
            <w:vAlign w:val="center"/>
          </w:tcPr>
          <w:p w14:paraId="10AA1E7C" w14:textId="59BFE2EE" w:rsidR="0086297F" w:rsidRPr="00290AA8" w:rsidRDefault="0086297F" w:rsidP="002665C6">
            <w:pPr>
              <w:jc w:val="center"/>
              <w:rPr>
                <w:rFonts w:ascii="Titillium Web" w:hAnsi="Titillium Web"/>
                <w:szCs w:val="24"/>
              </w:rPr>
            </w:pPr>
            <w:r w:rsidRPr="00290AA8">
              <w:rPr>
                <w:rFonts w:ascii="Titillium Web" w:hAnsi="Titillium Web"/>
                <w:szCs w:val="24"/>
              </w:rPr>
              <w:t>1927</w:t>
            </w:r>
          </w:p>
        </w:tc>
      </w:tr>
      <w:tr w:rsidR="0086297F" w:rsidRPr="00290AA8" w14:paraId="3B6B9C62" w14:textId="77777777" w:rsidTr="002665C6">
        <w:trPr>
          <w:jc w:val="center"/>
        </w:trPr>
        <w:tc>
          <w:tcPr>
            <w:tcW w:w="1650" w:type="pct"/>
            <w:vAlign w:val="center"/>
          </w:tcPr>
          <w:p w14:paraId="2D01D888" w14:textId="77777777" w:rsidR="0086297F" w:rsidRPr="00290AA8" w:rsidRDefault="0086297F" w:rsidP="002665C6">
            <w:pPr>
              <w:jc w:val="center"/>
              <w:rPr>
                <w:rFonts w:ascii="Titillium Web" w:hAnsi="Titillium Web"/>
                <w:smallCaps/>
                <w:szCs w:val="24"/>
              </w:rPr>
            </w:pPr>
            <w:r w:rsidRPr="00290AA8">
              <w:rPr>
                <w:rFonts w:ascii="Titillium Web" w:hAnsi="Titillium Web"/>
                <w:smallCaps/>
                <w:szCs w:val="24"/>
              </w:rPr>
              <w:t>Stato di conservazione della tomba</w:t>
            </w:r>
          </w:p>
        </w:tc>
        <w:tc>
          <w:tcPr>
            <w:tcW w:w="3350" w:type="pct"/>
            <w:vAlign w:val="center"/>
          </w:tcPr>
          <w:p w14:paraId="3ADC95CD" w14:textId="31719CCD" w:rsidR="0086297F" w:rsidRPr="00290AA8" w:rsidRDefault="0086297F" w:rsidP="002665C6">
            <w:pPr>
              <w:jc w:val="center"/>
              <w:rPr>
                <w:rFonts w:ascii="Titillium Web" w:hAnsi="Titillium Web"/>
                <w:szCs w:val="24"/>
              </w:rPr>
            </w:pPr>
            <w:r w:rsidRPr="00290AA8">
              <w:rPr>
                <w:rFonts w:ascii="Titillium Web" w:hAnsi="Titillium Web"/>
                <w:szCs w:val="24"/>
              </w:rPr>
              <w:t>Sconvolta</w:t>
            </w:r>
          </w:p>
        </w:tc>
      </w:tr>
      <w:tr w:rsidR="0086297F" w:rsidRPr="00290AA8" w14:paraId="3D165E1E" w14:textId="77777777" w:rsidTr="002665C6">
        <w:trPr>
          <w:jc w:val="center"/>
        </w:trPr>
        <w:tc>
          <w:tcPr>
            <w:tcW w:w="1650" w:type="pct"/>
            <w:vAlign w:val="center"/>
          </w:tcPr>
          <w:p w14:paraId="2A5B3D4F" w14:textId="77777777" w:rsidR="0086297F" w:rsidRPr="00290AA8" w:rsidRDefault="0086297F" w:rsidP="002665C6">
            <w:pPr>
              <w:jc w:val="center"/>
              <w:rPr>
                <w:rFonts w:ascii="Titillium Web" w:hAnsi="Titillium Web"/>
                <w:smallCaps/>
                <w:szCs w:val="24"/>
              </w:rPr>
            </w:pPr>
            <w:r w:rsidRPr="00290AA8">
              <w:rPr>
                <w:rFonts w:ascii="Titillium Web" w:hAnsi="Titillium Web"/>
                <w:smallCaps/>
                <w:szCs w:val="24"/>
              </w:rPr>
              <w:t>Rito di seppellimento</w:t>
            </w:r>
          </w:p>
        </w:tc>
        <w:tc>
          <w:tcPr>
            <w:tcW w:w="3350" w:type="pct"/>
            <w:vAlign w:val="center"/>
          </w:tcPr>
          <w:p w14:paraId="094BD426" w14:textId="6E99443A" w:rsidR="0086297F" w:rsidRPr="00290AA8" w:rsidRDefault="0086297F" w:rsidP="002665C6">
            <w:pPr>
              <w:jc w:val="center"/>
              <w:rPr>
                <w:rFonts w:ascii="Titillium Web" w:hAnsi="Titillium Web"/>
                <w:szCs w:val="24"/>
              </w:rPr>
            </w:pPr>
            <w:r w:rsidRPr="00290AA8">
              <w:rPr>
                <w:rFonts w:ascii="Titillium Web" w:hAnsi="Titillium Web"/>
                <w:szCs w:val="24"/>
              </w:rPr>
              <w:t>Inumazione</w:t>
            </w:r>
          </w:p>
        </w:tc>
      </w:tr>
      <w:tr w:rsidR="0086297F" w:rsidRPr="00290AA8" w14:paraId="44CADBCB" w14:textId="77777777" w:rsidTr="002665C6">
        <w:trPr>
          <w:jc w:val="center"/>
        </w:trPr>
        <w:tc>
          <w:tcPr>
            <w:tcW w:w="1650" w:type="pct"/>
            <w:vAlign w:val="center"/>
          </w:tcPr>
          <w:p w14:paraId="1E25741A" w14:textId="77777777" w:rsidR="0086297F" w:rsidRPr="00290AA8" w:rsidRDefault="0086297F" w:rsidP="002665C6">
            <w:pPr>
              <w:jc w:val="center"/>
              <w:rPr>
                <w:rFonts w:ascii="Titillium Web" w:hAnsi="Titillium Web"/>
                <w:smallCaps/>
                <w:szCs w:val="24"/>
              </w:rPr>
            </w:pPr>
            <w:r w:rsidRPr="00290AA8">
              <w:rPr>
                <w:rFonts w:ascii="Titillium Web" w:hAnsi="Titillium Web"/>
                <w:smallCaps/>
                <w:szCs w:val="24"/>
              </w:rPr>
              <w:t>Struttura tomba</w:t>
            </w:r>
          </w:p>
        </w:tc>
        <w:tc>
          <w:tcPr>
            <w:tcW w:w="3350" w:type="pct"/>
            <w:vAlign w:val="center"/>
          </w:tcPr>
          <w:p w14:paraId="1DE3BCB3" w14:textId="08DB6A85" w:rsidR="0086297F" w:rsidRPr="00290AA8" w:rsidRDefault="0086297F" w:rsidP="002665C6">
            <w:pPr>
              <w:jc w:val="center"/>
              <w:rPr>
                <w:rFonts w:ascii="Titillium Web" w:hAnsi="Titillium Web"/>
                <w:szCs w:val="24"/>
              </w:rPr>
            </w:pPr>
            <w:r w:rsidRPr="00290AA8">
              <w:rPr>
                <w:rFonts w:ascii="Titillium Web" w:hAnsi="Titillium Web"/>
                <w:szCs w:val="24"/>
              </w:rPr>
              <w:t>fossa con cassone ligneo</w:t>
            </w:r>
          </w:p>
        </w:tc>
      </w:tr>
      <w:tr w:rsidR="0086297F" w:rsidRPr="00290AA8" w14:paraId="47E1F943" w14:textId="77777777" w:rsidTr="002665C6">
        <w:trPr>
          <w:jc w:val="center"/>
        </w:trPr>
        <w:tc>
          <w:tcPr>
            <w:tcW w:w="1650" w:type="pct"/>
            <w:vAlign w:val="center"/>
          </w:tcPr>
          <w:p w14:paraId="355EE080" w14:textId="77777777" w:rsidR="0086297F" w:rsidRPr="00290AA8" w:rsidRDefault="0086297F" w:rsidP="002665C6">
            <w:pPr>
              <w:jc w:val="center"/>
              <w:rPr>
                <w:rFonts w:ascii="Titillium Web" w:hAnsi="Titillium Web"/>
                <w:smallCaps/>
                <w:szCs w:val="24"/>
              </w:rPr>
            </w:pPr>
            <w:r w:rsidRPr="00290AA8">
              <w:rPr>
                <w:rFonts w:ascii="Titillium Web" w:hAnsi="Titillium Web"/>
                <w:smallCaps/>
                <w:szCs w:val="24"/>
              </w:rPr>
              <w:t xml:space="preserve">Profondità dal piano di campagna </w:t>
            </w:r>
          </w:p>
        </w:tc>
        <w:tc>
          <w:tcPr>
            <w:tcW w:w="3350" w:type="pct"/>
            <w:vAlign w:val="center"/>
          </w:tcPr>
          <w:p w14:paraId="13D75B9B" w14:textId="6492371F" w:rsidR="0086297F" w:rsidRPr="00290AA8" w:rsidRDefault="0086297F" w:rsidP="002665C6">
            <w:pPr>
              <w:jc w:val="center"/>
              <w:rPr>
                <w:rFonts w:ascii="Titillium Web" w:hAnsi="Titillium Web"/>
                <w:szCs w:val="24"/>
              </w:rPr>
            </w:pPr>
            <w:r w:rsidRPr="00290AA8">
              <w:rPr>
                <w:rFonts w:ascii="Titillium Web" w:hAnsi="Titillium Web"/>
                <w:szCs w:val="24"/>
              </w:rPr>
              <w:t>1,87 m</w:t>
            </w:r>
          </w:p>
        </w:tc>
      </w:tr>
      <w:tr w:rsidR="0086297F" w:rsidRPr="00290AA8" w14:paraId="75BC79FE" w14:textId="77777777" w:rsidTr="002665C6">
        <w:trPr>
          <w:jc w:val="center"/>
        </w:trPr>
        <w:tc>
          <w:tcPr>
            <w:tcW w:w="1650" w:type="pct"/>
            <w:vAlign w:val="center"/>
          </w:tcPr>
          <w:p w14:paraId="432462C5" w14:textId="77777777" w:rsidR="0086297F" w:rsidRPr="00290AA8" w:rsidRDefault="0086297F" w:rsidP="002665C6">
            <w:pPr>
              <w:jc w:val="center"/>
              <w:rPr>
                <w:rFonts w:ascii="Titillium Web" w:hAnsi="Titillium Web"/>
                <w:smallCaps/>
                <w:szCs w:val="24"/>
              </w:rPr>
            </w:pPr>
            <w:r w:rsidRPr="00290AA8">
              <w:rPr>
                <w:rFonts w:ascii="Titillium Web" w:hAnsi="Titillium Web"/>
                <w:smallCaps/>
                <w:szCs w:val="24"/>
              </w:rPr>
              <w:t>Dimensioni della sepoltura</w:t>
            </w:r>
          </w:p>
        </w:tc>
        <w:tc>
          <w:tcPr>
            <w:tcW w:w="3350" w:type="pct"/>
            <w:vAlign w:val="center"/>
          </w:tcPr>
          <w:p w14:paraId="65EDFAD4" w14:textId="5859930D" w:rsidR="0086297F" w:rsidRPr="00290AA8" w:rsidRDefault="0086297F" w:rsidP="002665C6">
            <w:pPr>
              <w:jc w:val="center"/>
              <w:rPr>
                <w:rFonts w:ascii="Titillium Web" w:hAnsi="Titillium Web"/>
                <w:szCs w:val="24"/>
              </w:rPr>
            </w:pPr>
            <w:r w:rsidRPr="00290AA8">
              <w:rPr>
                <w:rFonts w:ascii="Titillium Web" w:hAnsi="Titillium Web"/>
                <w:szCs w:val="24"/>
              </w:rPr>
              <w:t>Dimensioni non registrate</w:t>
            </w:r>
          </w:p>
        </w:tc>
      </w:tr>
      <w:tr w:rsidR="0086297F" w:rsidRPr="00290AA8" w14:paraId="35E5C09E" w14:textId="77777777" w:rsidTr="002665C6">
        <w:trPr>
          <w:jc w:val="center"/>
        </w:trPr>
        <w:tc>
          <w:tcPr>
            <w:tcW w:w="1650" w:type="pct"/>
            <w:vAlign w:val="center"/>
          </w:tcPr>
          <w:p w14:paraId="5AA10374" w14:textId="77777777" w:rsidR="0086297F" w:rsidRPr="00290AA8" w:rsidRDefault="0086297F" w:rsidP="002665C6">
            <w:pPr>
              <w:jc w:val="center"/>
              <w:rPr>
                <w:rFonts w:ascii="Titillium Web" w:hAnsi="Titillium Web"/>
                <w:smallCaps/>
                <w:szCs w:val="24"/>
              </w:rPr>
            </w:pPr>
            <w:r w:rsidRPr="00290AA8">
              <w:rPr>
                <w:rFonts w:ascii="Titillium Web" w:hAnsi="Titillium Web"/>
                <w:smallCaps/>
                <w:szCs w:val="24"/>
              </w:rPr>
              <w:t>Orientamento dello scheletro</w:t>
            </w:r>
          </w:p>
        </w:tc>
        <w:tc>
          <w:tcPr>
            <w:tcW w:w="3350" w:type="pct"/>
            <w:vAlign w:val="center"/>
          </w:tcPr>
          <w:p w14:paraId="6E0E4E7B" w14:textId="7F6B3E0C" w:rsidR="0086297F" w:rsidRPr="00290AA8" w:rsidRDefault="0086297F" w:rsidP="002665C6">
            <w:pPr>
              <w:jc w:val="center"/>
              <w:rPr>
                <w:rFonts w:ascii="Titillium Web" w:hAnsi="Titillium Web"/>
                <w:szCs w:val="24"/>
              </w:rPr>
            </w:pPr>
            <w:r w:rsidRPr="00290AA8">
              <w:rPr>
                <w:rFonts w:ascii="Titillium Web" w:hAnsi="Titillium Web"/>
                <w:szCs w:val="24"/>
              </w:rPr>
              <w:t>NW-SE</w:t>
            </w:r>
          </w:p>
        </w:tc>
      </w:tr>
      <w:tr w:rsidR="0086297F" w:rsidRPr="00290AA8" w14:paraId="71236441" w14:textId="77777777" w:rsidTr="002665C6">
        <w:trPr>
          <w:jc w:val="center"/>
        </w:trPr>
        <w:tc>
          <w:tcPr>
            <w:tcW w:w="1650" w:type="pct"/>
            <w:vAlign w:val="center"/>
          </w:tcPr>
          <w:p w14:paraId="4A1B31A8" w14:textId="77777777" w:rsidR="0086297F" w:rsidRPr="00290AA8" w:rsidRDefault="0086297F" w:rsidP="002665C6">
            <w:pPr>
              <w:jc w:val="center"/>
              <w:rPr>
                <w:rFonts w:ascii="Titillium Web" w:hAnsi="Titillium Web"/>
                <w:smallCaps/>
                <w:szCs w:val="24"/>
              </w:rPr>
            </w:pPr>
            <w:r w:rsidRPr="00290AA8">
              <w:rPr>
                <w:rFonts w:ascii="Titillium Web" w:hAnsi="Titillium Web"/>
                <w:smallCaps/>
                <w:szCs w:val="24"/>
              </w:rPr>
              <w:t>Segnacolo</w:t>
            </w:r>
          </w:p>
        </w:tc>
        <w:tc>
          <w:tcPr>
            <w:tcW w:w="3350" w:type="pct"/>
            <w:vAlign w:val="center"/>
          </w:tcPr>
          <w:p w14:paraId="104CE615" w14:textId="50385AE1" w:rsidR="0086297F" w:rsidRPr="00290AA8" w:rsidRDefault="0086297F" w:rsidP="002665C6">
            <w:pPr>
              <w:jc w:val="center"/>
              <w:rPr>
                <w:rFonts w:ascii="Titillium Web" w:hAnsi="Titillium Web"/>
                <w:szCs w:val="24"/>
              </w:rPr>
            </w:pPr>
            <w:r w:rsidRPr="00290AA8">
              <w:rPr>
                <w:rFonts w:ascii="Titillium Web" w:hAnsi="Titillium Web"/>
                <w:szCs w:val="24"/>
              </w:rPr>
              <w:t>/</w:t>
            </w:r>
          </w:p>
        </w:tc>
      </w:tr>
      <w:tr w:rsidR="0086297F" w:rsidRPr="00290AA8" w14:paraId="6D6CBA71" w14:textId="77777777" w:rsidTr="002665C6">
        <w:trPr>
          <w:jc w:val="center"/>
        </w:trPr>
        <w:tc>
          <w:tcPr>
            <w:tcW w:w="1650" w:type="pct"/>
            <w:vAlign w:val="center"/>
          </w:tcPr>
          <w:p w14:paraId="75CA0D64" w14:textId="77777777" w:rsidR="0086297F" w:rsidRPr="00290AA8" w:rsidRDefault="0086297F" w:rsidP="002665C6">
            <w:pPr>
              <w:jc w:val="center"/>
              <w:rPr>
                <w:rFonts w:ascii="Titillium Web" w:hAnsi="Titillium Web"/>
                <w:smallCaps/>
                <w:szCs w:val="24"/>
              </w:rPr>
            </w:pPr>
            <w:r w:rsidRPr="00290AA8">
              <w:rPr>
                <w:rFonts w:ascii="Titillium Web" w:hAnsi="Titillium Web"/>
                <w:smallCaps/>
                <w:szCs w:val="24"/>
              </w:rPr>
              <w:t>Giornale di scavo</w:t>
            </w:r>
          </w:p>
        </w:tc>
        <w:tc>
          <w:tcPr>
            <w:tcW w:w="3350" w:type="pct"/>
            <w:vAlign w:val="center"/>
          </w:tcPr>
          <w:p w14:paraId="284027EF" w14:textId="77777777" w:rsidR="009B4855" w:rsidRPr="00290AA8" w:rsidRDefault="008E410E">
            <w:pPr>
              <w:rPr>
                <w:rFonts w:ascii="Titillium Web" w:hAnsi="Titillium Web"/>
                <w:i/>
                <w:iCs/>
                <w:szCs w:val="24"/>
              </w:rPr>
            </w:pPr>
            <w:r w:rsidRPr="00290AA8">
              <w:rPr>
                <w:rFonts w:ascii="Titillium Web" w:hAnsi="Titillium Web"/>
                <w:i/>
                <w:iCs/>
                <w:szCs w:val="24"/>
              </w:rPr>
              <w:t>Tomba 678 a umazione (sconvolta)</w:t>
            </w:r>
          </w:p>
          <w:p w14:paraId="4048BEBC" w14:textId="77777777" w:rsidR="009B4855" w:rsidRPr="00290AA8" w:rsidRDefault="008E410E">
            <w:pPr>
              <w:rPr>
                <w:rFonts w:ascii="Titillium Web" w:hAnsi="Titillium Web"/>
                <w:i/>
                <w:iCs/>
                <w:szCs w:val="24"/>
              </w:rPr>
            </w:pPr>
            <w:r w:rsidRPr="00290AA8">
              <w:rPr>
                <w:rFonts w:ascii="Titillium Web" w:hAnsi="Titillium Web"/>
                <w:i/>
                <w:iCs/>
                <w:szCs w:val="24"/>
              </w:rPr>
              <w:t>A m. 109 dal B, a m. 24,80 a sud della linea... a m. 1,87 di profondità poggiava una tomba a</w:t>
            </w:r>
          </w:p>
          <w:p w14:paraId="41CA1401" w14:textId="77777777" w:rsidR="009B4855" w:rsidRPr="00290AA8" w:rsidRDefault="008E410E">
            <w:pPr>
              <w:rPr>
                <w:rFonts w:ascii="Titillium Web" w:hAnsi="Titillium Web"/>
                <w:i/>
                <w:iCs/>
                <w:szCs w:val="24"/>
              </w:rPr>
            </w:pPr>
            <w:r w:rsidRPr="00290AA8">
              <w:rPr>
                <w:rFonts w:ascii="Titillium Web" w:hAnsi="Titillium Web"/>
                <w:i/>
                <w:iCs/>
                <w:szCs w:val="24"/>
              </w:rPr>
              <w:t>umazione sconvolta, con cassa di travi di legno e con il coperchio e il fondo costituito da grosse tavole.</w:t>
            </w:r>
          </w:p>
          <w:p w14:paraId="006E3ED0" w14:textId="77777777" w:rsidR="009B4855" w:rsidRPr="00290AA8" w:rsidRDefault="008E410E">
            <w:pPr>
              <w:rPr>
                <w:rFonts w:ascii="Titillium Web" w:hAnsi="Titillium Web"/>
                <w:i/>
                <w:iCs/>
                <w:szCs w:val="24"/>
              </w:rPr>
            </w:pPr>
            <w:r w:rsidRPr="00290AA8">
              <w:rPr>
                <w:rFonts w:ascii="Titillium Web" w:hAnsi="Titillium Web"/>
                <w:i/>
                <w:iCs/>
                <w:szCs w:val="24"/>
              </w:rPr>
              <w:t>Nella parte superiore della tomba, grossi pezzi di tavole di legno marcite, schiacciavano il materiale fittile e le ossa dello scheletro indubbiamente fu sconvolta poiché parte dei pezzi del coperchio della cassa si rinvennero con cocci di stoviglie superiormente alla tomba fra la terra rimaneggiata. Sotto ai residui legnosi del coperchio della cassa si rinvennero i seguenti fittili ed oggetti fra le ossa sconvolte dello scheletro.</w:t>
            </w:r>
          </w:p>
          <w:p w14:paraId="206C59E0" w14:textId="77777777" w:rsidR="009B4855" w:rsidRPr="00290AA8" w:rsidRDefault="008E410E">
            <w:pPr>
              <w:rPr>
                <w:rFonts w:ascii="Titillium Web" w:hAnsi="Titillium Web"/>
                <w:i/>
                <w:iCs/>
                <w:szCs w:val="24"/>
              </w:rPr>
            </w:pPr>
            <w:r w:rsidRPr="00290AA8">
              <w:rPr>
                <w:rFonts w:ascii="Titillium Web" w:hAnsi="Titillium Web"/>
                <w:i/>
                <w:iCs/>
                <w:szCs w:val="24"/>
              </w:rPr>
              <w:t>2 oinokoai piccole, con bocca trilobata, a vern. nera e con figure rosse: l’uno rappresenta una figura femminile che reca una cassettina; l’altro una figura femminile protesa sopra un’ara, Di disegno trascurato - Il primo è frammentato nella bocca e sull’ansa.</w:t>
            </w:r>
          </w:p>
          <w:p w14:paraId="77C0B593" w14:textId="77777777" w:rsidR="009B4855" w:rsidRPr="00290AA8" w:rsidRDefault="008E410E">
            <w:pPr>
              <w:rPr>
                <w:rFonts w:ascii="Titillium Web" w:hAnsi="Titillium Web"/>
                <w:i/>
                <w:iCs/>
                <w:szCs w:val="24"/>
              </w:rPr>
            </w:pPr>
            <w:r w:rsidRPr="00290AA8">
              <w:rPr>
                <w:rFonts w:ascii="Titillium Web" w:hAnsi="Titillium Web"/>
                <w:i/>
                <w:iCs/>
                <w:szCs w:val="24"/>
              </w:rPr>
              <w:t>1 vasetto a forma di bicchiere, completamente schiacciato e in minuti frammenti: reca zone di foglie e bacche dipinte e segni verticali -</w:t>
            </w:r>
          </w:p>
          <w:p w14:paraId="3702AD85" w14:textId="77777777" w:rsidR="009B4855" w:rsidRPr="00290AA8" w:rsidRDefault="008E410E">
            <w:pPr>
              <w:rPr>
                <w:rFonts w:ascii="Titillium Web" w:hAnsi="Titillium Web"/>
                <w:i/>
                <w:iCs/>
                <w:szCs w:val="24"/>
              </w:rPr>
            </w:pPr>
            <w:r w:rsidRPr="00290AA8">
              <w:rPr>
                <w:rFonts w:ascii="Titillium Web" w:hAnsi="Titillium Web"/>
                <w:i/>
                <w:iCs/>
                <w:szCs w:val="24"/>
              </w:rPr>
              <w:t>1 tazza a vern. nera, liscia, frammentata e fondello di un’altra simile -</w:t>
            </w:r>
          </w:p>
          <w:p w14:paraId="7CC792C4" w14:textId="77777777" w:rsidR="009B4855" w:rsidRPr="00290AA8" w:rsidRDefault="008E410E">
            <w:pPr>
              <w:rPr>
                <w:rFonts w:ascii="Titillium Web" w:hAnsi="Titillium Web"/>
                <w:i/>
                <w:iCs/>
                <w:szCs w:val="24"/>
              </w:rPr>
            </w:pPr>
            <w:proofErr w:type="gramStart"/>
            <w:r w:rsidRPr="00290AA8">
              <w:rPr>
                <w:rFonts w:ascii="Titillium Web" w:hAnsi="Titillium Web"/>
                <w:i/>
                <w:iCs/>
                <w:szCs w:val="24"/>
              </w:rPr>
              <w:t>4</w:t>
            </w:r>
            <w:proofErr w:type="gramEnd"/>
            <w:r w:rsidRPr="00290AA8">
              <w:rPr>
                <w:rFonts w:ascii="Titillium Web" w:hAnsi="Titillium Web"/>
                <w:i/>
                <w:iCs/>
                <w:szCs w:val="24"/>
              </w:rPr>
              <w:t xml:space="preserve"> piattelli di argilla giallastra, grezzi, con ossicine di polli? (uno dei piattelli conserva come una piombatura nel peduccio.)</w:t>
            </w:r>
          </w:p>
          <w:p w14:paraId="0F566609" w14:textId="77777777" w:rsidR="009B4855" w:rsidRPr="00290AA8" w:rsidRDefault="008E410E">
            <w:pPr>
              <w:rPr>
                <w:rFonts w:ascii="Titillium Web" w:hAnsi="Titillium Web"/>
                <w:i/>
                <w:iCs/>
                <w:szCs w:val="24"/>
              </w:rPr>
            </w:pPr>
            <w:r w:rsidRPr="00290AA8">
              <w:rPr>
                <w:rFonts w:ascii="Titillium Web" w:hAnsi="Titillium Web"/>
                <w:i/>
                <w:iCs/>
                <w:szCs w:val="24"/>
              </w:rPr>
              <w:lastRenderedPageBreak/>
              <w:t>1 frammento di strigile di bronzo era presso la parete destra (secondo il disegno è a sinistra!) della cassa e li vicino</w:t>
            </w:r>
          </w:p>
          <w:p w14:paraId="0095326D" w14:textId="77777777" w:rsidR="009B4855" w:rsidRPr="00290AA8" w:rsidRDefault="008E410E">
            <w:pPr>
              <w:rPr>
                <w:rFonts w:ascii="Titillium Web" w:hAnsi="Titillium Web"/>
                <w:i/>
                <w:iCs/>
                <w:szCs w:val="24"/>
              </w:rPr>
            </w:pPr>
            <w:r w:rsidRPr="00290AA8">
              <w:rPr>
                <w:rFonts w:ascii="Titillium Web" w:hAnsi="Titillium Web"/>
                <w:i/>
                <w:iCs/>
                <w:szCs w:val="24"/>
              </w:rPr>
              <w:t>1 oggetto di legno che sembra avere la forma di un vaso</w:t>
            </w:r>
          </w:p>
          <w:p w14:paraId="76BC3A30" w14:textId="77777777" w:rsidR="009B4855" w:rsidRPr="00290AA8" w:rsidRDefault="008E410E">
            <w:pPr>
              <w:rPr>
                <w:rFonts w:ascii="Titillium Web" w:hAnsi="Titillium Web"/>
                <w:i/>
                <w:iCs/>
                <w:szCs w:val="24"/>
              </w:rPr>
            </w:pPr>
            <w:r w:rsidRPr="00290AA8">
              <w:rPr>
                <w:rFonts w:ascii="Titillium Web" w:hAnsi="Titillium Web"/>
                <w:i/>
                <w:iCs/>
                <w:szCs w:val="24"/>
              </w:rPr>
              <w:t>1 altro oggetto simile, di legno, si rinvenne nell’angolo destro della cassa con</w:t>
            </w:r>
          </w:p>
          <w:p w14:paraId="2E11454A" w14:textId="77777777" w:rsidR="009B4855" w:rsidRPr="00290AA8" w:rsidRDefault="008E410E">
            <w:pPr>
              <w:rPr>
                <w:rFonts w:ascii="Titillium Web" w:hAnsi="Titillium Web"/>
                <w:i/>
                <w:iCs/>
                <w:szCs w:val="24"/>
              </w:rPr>
            </w:pPr>
            <w:r w:rsidRPr="00290AA8">
              <w:rPr>
                <w:rFonts w:ascii="Titillium Web" w:hAnsi="Titillium Web"/>
                <w:i/>
                <w:iCs/>
                <w:szCs w:val="24"/>
              </w:rPr>
              <w:t>1 coperchietto di bronzo -</w:t>
            </w:r>
          </w:p>
          <w:p w14:paraId="679C0504" w14:textId="77777777" w:rsidR="009B4855" w:rsidRPr="00290AA8" w:rsidRDefault="009B4855">
            <w:pPr>
              <w:rPr>
                <w:rFonts w:ascii="Titillium Web" w:hAnsi="Titillium Web"/>
                <w:i/>
                <w:iCs/>
                <w:szCs w:val="24"/>
              </w:rPr>
            </w:pPr>
          </w:p>
          <w:p w14:paraId="67796230" w14:textId="77777777" w:rsidR="009B4855" w:rsidRPr="00290AA8" w:rsidRDefault="008E410E">
            <w:pPr>
              <w:rPr>
                <w:rFonts w:ascii="Titillium Web" w:hAnsi="Titillium Web"/>
                <w:i/>
                <w:iCs/>
                <w:szCs w:val="24"/>
              </w:rPr>
            </w:pPr>
            <w:r w:rsidRPr="00290AA8">
              <w:rPr>
                <w:rFonts w:ascii="Titillium Web" w:hAnsi="Titillium Web"/>
                <w:i/>
                <w:iCs/>
                <w:szCs w:val="24"/>
              </w:rPr>
              <w:t>A m. 1,80 a sud est del luogo ove ieri si rinvennero gli scheletri dei cani, oggi si rinviene lo scheletro di un cavallo (volto verso sud; ha la testa a levante - nessun’oggetto).</w:t>
            </w:r>
          </w:p>
        </w:tc>
      </w:tr>
      <w:tr w:rsidR="0086297F" w:rsidRPr="00290AA8" w14:paraId="1429C2F3" w14:textId="77777777" w:rsidTr="002665C6">
        <w:trPr>
          <w:jc w:val="center"/>
        </w:trPr>
        <w:tc>
          <w:tcPr>
            <w:tcW w:w="1650" w:type="pct"/>
            <w:vAlign w:val="center"/>
          </w:tcPr>
          <w:p w14:paraId="7F398080" w14:textId="77777777" w:rsidR="0086297F" w:rsidRPr="00290AA8" w:rsidRDefault="0086297F" w:rsidP="002665C6">
            <w:pPr>
              <w:jc w:val="center"/>
              <w:rPr>
                <w:rFonts w:ascii="Titillium Web" w:hAnsi="Titillium Web"/>
                <w:smallCaps/>
                <w:szCs w:val="24"/>
              </w:rPr>
            </w:pPr>
            <w:r w:rsidRPr="00290AA8">
              <w:rPr>
                <w:rFonts w:ascii="Titillium Web" w:hAnsi="Titillium Web"/>
                <w:smallCaps/>
                <w:szCs w:val="24"/>
              </w:rPr>
              <w:lastRenderedPageBreak/>
              <w:t>Posizione del corredo</w:t>
            </w:r>
          </w:p>
        </w:tc>
        <w:tc>
          <w:tcPr>
            <w:tcW w:w="3350" w:type="pct"/>
            <w:vAlign w:val="center"/>
          </w:tcPr>
          <w:p w14:paraId="5C03ADA7" w14:textId="7BF3AD8D" w:rsidR="0086297F" w:rsidRPr="00290AA8" w:rsidRDefault="0086297F" w:rsidP="002665C6">
            <w:pPr>
              <w:jc w:val="center"/>
              <w:rPr>
                <w:rFonts w:ascii="Titillium Web" w:hAnsi="Titillium Web"/>
                <w:szCs w:val="24"/>
              </w:rPr>
            </w:pPr>
            <w:r w:rsidRPr="00290AA8">
              <w:rPr>
                <w:rFonts w:ascii="Titillium Web" w:hAnsi="Titillium Web"/>
                <w:szCs w:val="24"/>
              </w:rPr>
              <w:t>In frammenti misti alle ossa del defunto</w:t>
            </w:r>
          </w:p>
        </w:tc>
      </w:tr>
      <w:tr w:rsidR="0086297F" w:rsidRPr="00290AA8" w14:paraId="71A0E4AF" w14:textId="77777777" w:rsidTr="002665C6">
        <w:trPr>
          <w:jc w:val="center"/>
        </w:trPr>
        <w:tc>
          <w:tcPr>
            <w:tcW w:w="1650" w:type="pct"/>
            <w:vAlign w:val="center"/>
          </w:tcPr>
          <w:p w14:paraId="2128B19B" w14:textId="77777777" w:rsidR="0086297F" w:rsidRPr="00290AA8" w:rsidRDefault="0086297F" w:rsidP="002665C6">
            <w:pPr>
              <w:jc w:val="center"/>
              <w:rPr>
                <w:rFonts w:ascii="Titillium Web" w:hAnsi="Titillium Web"/>
                <w:smallCaps/>
                <w:szCs w:val="24"/>
              </w:rPr>
            </w:pPr>
            <w:r w:rsidRPr="00290AA8">
              <w:rPr>
                <w:rFonts w:ascii="Titillium Web" w:hAnsi="Titillium Web"/>
                <w:smallCaps/>
                <w:szCs w:val="24"/>
              </w:rPr>
              <w:t>Genere (legato all’analisi del corredo)</w:t>
            </w:r>
          </w:p>
        </w:tc>
        <w:tc>
          <w:tcPr>
            <w:tcW w:w="3350" w:type="pct"/>
            <w:vAlign w:val="center"/>
          </w:tcPr>
          <w:p w14:paraId="31324C2B" w14:textId="4E55E405" w:rsidR="0086297F" w:rsidRPr="00290AA8" w:rsidRDefault="0086297F" w:rsidP="002665C6">
            <w:pPr>
              <w:jc w:val="center"/>
              <w:rPr>
                <w:rFonts w:ascii="Titillium Web" w:hAnsi="Titillium Web"/>
                <w:szCs w:val="24"/>
              </w:rPr>
            </w:pPr>
            <w:r w:rsidRPr="00290AA8">
              <w:rPr>
                <w:rFonts w:ascii="Titillium Web" w:hAnsi="Titillium Web"/>
                <w:szCs w:val="24"/>
              </w:rPr>
              <w:t>Femminile</w:t>
            </w:r>
          </w:p>
        </w:tc>
      </w:tr>
      <w:tr w:rsidR="0086297F" w:rsidRPr="00290AA8" w14:paraId="17633947" w14:textId="77777777" w:rsidTr="002665C6">
        <w:trPr>
          <w:jc w:val="center"/>
        </w:trPr>
        <w:tc>
          <w:tcPr>
            <w:tcW w:w="1650" w:type="pct"/>
            <w:vAlign w:val="center"/>
          </w:tcPr>
          <w:p w14:paraId="44721053" w14:textId="77777777" w:rsidR="0086297F" w:rsidRPr="00290AA8" w:rsidRDefault="0086297F" w:rsidP="002665C6">
            <w:pPr>
              <w:jc w:val="center"/>
              <w:rPr>
                <w:rFonts w:ascii="Titillium Web" w:hAnsi="Titillium Web"/>
                <w:smallCaps/>
                <w:szCs w:val="24"/>
              </w:rPr>
            </w:pPr>
            <w:r w:rsidRPr="00290AA8">
              <w:rPr>
                <w:rFonts w:ascii="Titillium Web" w:hAnsi="Titillium Web"/>
                <w:smallCaps/>
                <w:szCs w:val="24"/>
              </w:rPr>
              <w:t>Sesso (legato alle analisi antropologiche)</w:t>
            </w:r>
          </w:p>
        </w:tc>
        <w:tc>
          <w:tcPr>
            <w:tcW w:w="3350" w:type="pct"/>
            <w:vAlign w:val="center"/>
          </w:tcPr>
          <w:p w14:paraId="66E918A4" w14:textId="50197FF0" w:rsidR="0086297F" w:rsidRPr="00290AA8" w:rsidRDefault="0086297F" w:rsidP="002665C6">
            <w:pPr>
              <w:jc w:val="center"/>
              <w:rPr>
                <w:rFonts w:ascii="Titillium Web" w:hAnsi="Titillium Web"/>
                <w:szCs w:val="24"/>
              </w:rPr>
            </w:pPr>
            <w:r w:rsidRPr="00290AA8">
              <w:rPr>
                <w:rFonts w:ascii="Titillium Web" w:hAnsi="Titillium Web"/>
                <w:szCs w:val="24"/>
              </w:rPr>
              <w:t>Non determinabile</w:t>
            </w:r>
          </w:p>
        </w:tc>
      </w:tr>
      <w:tr w:rsidR="0086297F" w:rsidRPr="00290AA8" w14:paraId="0588946D" w14:textId="77777777" w:rsidTr="002665C6">
        <w:trPr>
          <w:jc w:val="center"/>
        </w:trPr>
        <w:tc>
          <w:tcPr>
            <w:tcW w:w="1650" w:type="pct"/>
            <w:vAlign w:val="center"/>
          </w:tcPr>
          <w:p w14:paraId="54990945" w14:textId="77777777" w:rsidR="0086297F" w:rsidRPr="00290AA8" w:rsidRDefault="0086297F" w:rsidP="002665C6">
            <w:pPr>
              <w:jc w:val="center"/>
              <w:rPr>
                <w:rFonts w:ascii="Titillium Web" w:hAnsi="Titillium Web"/>
                <w:smallCaps/>
                <w:szCs w:val="24"/>
              </w:rPr>
            </w:pPr>
            <w:r w:rsidRPr="00290AA8">
              <w:rPr>
                <w:rFonts w:ascii="Titillium Web" w:hAnsi="Titillium Web"/>
                <w:smallCaps/>
                <w:szCs w:val="24"/>
              </w:rPr>
              <w:t>Classi di età</w:t>
            </w:r>
          </w:p>
        </w:tc>
        <w:tc>
          <w:tcPr>
            <w:tcW w:w="3350" w:type="pct"/>
            <w:vAlign w:val="center"/>
          </w:tcPr>
          <w:p w14:paraId="0E0589EA" w14:textId="7D4DF825" w:rsidR="0086297F" w:rsidRPr="00290AA8" w:rsidRDefault="0086297F" w:rsidP="002665C6">
            <w:pPr>
              <w:jc w:val="center"/>
              <w:rPr>
                <w:rFonts w:ascii="Titillium Web" w:hAnsi="Titillium Web"/>
                <w:szCs w:val="24"/>
              </w:rPr>
            </w:pPr>
            <w:proofErr w:type="gramStart"/>
            <w:r w:rsidRPr="00290AA8">
              <w:rPr>
                <w:rFonts w:ascii="Titillium Web" w:hAnsi="Titillium Web"/>
                <w:szCs w:val="24"/>
              </w:rPr>
              <w:t>Adulto ?</w:t>
            </w:r>
            <w:proofErr w:type="gramEnd"/>
          </w:p>
        </w:tc>
      </w:tr>
      <w:tr w:rsidR="0086297F" w:rsidRPr="00290AA8" w14:paraId="1FFA88A1" w14:textId="77777777" w:rsidTr="002665C6">
        <w:trPr>
          <w:jc w:val="center"/>
        </w:trPr>
        <w:tc>
          <w:tcPr>
            <w:tcW w:w="1650" w:type="pct"/>
            <w:vAlign w:val="center"/>
          </w:tcPr>
          <w:p w14:paraId="63B2D8D6" w14:textId="77777777" w:rsidR="0086297F" w:rsidRPr="00290AA8" w:rsidRDefault="0086297F" w:rsidP="002665C6">
            <w:pPr>
              <w:jc w:val="center"/>
              <w:rPr>
                <w:rFonts w:ascii="Titillium Web" w:hAnsi="Titillium Web"/>
                <w:smallCaps/>
                <w:szCs w:val="24"/>
              </w:rPr>
            </w:pPr>
            <w:r w:rsidRPr="00290AA8">
              <w:rPr>
                <w:rFonts w:ascii="Titillium Web" w:hAnsi="Titillium Web"/>
                <w:smallCaps/>
                <w:szCs w:val="24"/>
              </w:rPr>
              <w:t>Bibliografia essenziale</w:t>
            </w:r>
          </w:p>
        </w:tc>
        <w:tc>
          <w:tcPr>
            <w:tcW w:w="3350" w:type="pct"/>
            <w:vAlign w:val="center"/>
          </w:tcPr>
          <w:p w14:paraId="36B8AF51" w14:textId="77777777" w:rsidR="009B4855" w:rsidRPr="00290AA8" w:rsidRDefault="008E410E" w:rsidP="00290AA8">
            <w:pPr>
              <w:jc w:val="center"/>
              <w:rPr>
                <w:rFonts w:ascii="Titillium Web" w:hAnsi="Titillium Web"/>
                <w:szCs w:val="24"/>
              </w:rPr>
            </w:pPr>
            <w:r w:rsidRPr="00290AA8">
              <w:rPr>
                <w:rFonts w:ascii="Titillium Web" w:eastAsia="Titillium" w:hAnsi="Titillium Web" w:cs="Titillium"/>
                <w:smallCaps/>
                <w:szCs w:val="24"/>
              </w:rPr>
              <w:t>Trevisanello</w:t>
            </w:r>
            <w:r w:rsidRPr="00290AA8">
              <w:rPr>
                <w:rFonts w:ascii="Titillium Web" w:eastAsia="Titillium" w:hAnsi="Titillium Web" w:cs="Titillium"/>
                <w:szCs w:val="24"/>
              </w:rPr>
              <w:t xml:space="preserve"> 2024</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0AA8"/>
    <w:rsid w:val="002977D7"/>
    <w:rsid w:val="00472AF4"/>
    <w:rsid w:val="00551AF8"/>
    <w:rsid w:val="005B5AFF"/>
    <w:rsid w:val="006162A4"/>
    <w:rsid w:val="006346F7"/>
    <w:rsid w:val="006D6EFB"/>
    <w:rsid w:val="007145BC"/>
    <w:rsid w:val="0086297F"/>
    <w:rsid w:val="009B4855"/>
    <w:rsid w:val="009E4922"/>
    <w:rsid w:val="00AB321D"/>
    <w:rsid w:val="00B165C4"/>
    <w:rsid w:val="00C21EE0"/>
    <w:rsid w:val="00CF2A67"/>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2026-05-14T18:48:00Z</dcterms:modified>
</cp:coreProperties>
</file>