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681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F79E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F79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9E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F79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9E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F79E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F79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9E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F79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9E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F79E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F79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9E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F79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9E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F79E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F79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9E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F79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9EB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5F79E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F79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9E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F79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9EB">
              <w:rPr>
                <w:rFonts w:ascii="Titillium Web" w:hAnsi="Titillium Web"/>
                <w:szCs w:val="24"/>
              </w:rPr>
              <w:t>1,16 m</w:t>
            </w:r>
          </w:p>
        </w:tc>
      </w:tr>
      <w:tr w:rsidR="0086297F" w:rsidRPr="005F79E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F79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9E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F79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9E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F79E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F79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9E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F79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9EB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F79E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F79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9E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F79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9E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F79E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F79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9E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F62FC0A" w14:textId="77777777" w:rsidR="00576D7B" w:rsidRPr="005F79EB" w:rsidRDefault="002D64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9EB">
              <w:rPr>
                <w:rFonts w:ascii="Titillium Web" w:hAnsi="Titillium Web"/>
                <w:i/>
                <w:iCs/>
                <w:szCs w:val="24"/>
              </w:rPr>
              <w:t>Tomba 681 a umazione</w:t>
            </w:r>
          </w:p>
          <w:p w14:paraId="236BE9AB" w14:textId="77777777" w:rsidR="00576D7B" w:rsidRPr="005F79EB" w:rsidRDefault="002D64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9EB">
              <w:rPr>
                <w:rFonts w:ascii="Titillium Web" w:hAnsi="Titillium Web"/>
                <w:i/>
                <w:iCs/>
                <w:szCs w:val="24"/>
              </w:rPr>
              <w:t>(con cassa di legno)</w:t>
            </w:r>
          </w:p>
          <w:p w14:paraId="7DF01D62" w14:textId="77777777" w:rsidR="00576D7B" w:rsidRPr="005F79EB" w:rsidRDefault="002D64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9EB">
              <w:rPr>
                <w:rFonts w:ascii="Titillium Web" w:hAnsi="Titillium Web"/>
                <w:i/>
                <w:iCs/>
                <w:szCs w:val="24"/>
              </w:rPr>
              <w:t xml:space="preserve">A m. 24,20 dal B, a m. 5,30 dalla nuova linea tracciata a immediato contatto dello scavo regolarmente eseguito da anni (la quale linea come si è già detto è a m. 262 a sud del D.B.), a m. 1,16 di profondità giaceva una tomba con scheletro orientato da NO a </w:t>
            </w:r>
            <w:proofErr w:type="gramStart"/>
            <w:r w:rsidRPr="005F79EB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5F79EB">
              <w:rPr>
                <w:rFonts w:ascii="Titillium Web" w:hAnsi="Titillium Web"/>
                <w:i/>
                <w:iCs/>
                <w:szCs w:val="24"/>
              </w:rPr>
              <w:t xml:space="preserve"> - gradi 340 circa.</w:t>
            </w:r>
          </w:p>
          <w:p w14:paraId="7FA437C0" w14:textId="77777777" w:rsidR="00576D7B" w:rsidRPr="005F79EB" w:rsidRDefault="002D64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9EB">
              <w:rPr>
                <w:rFonts w:ascii="Titillium Web" w:hAnsi="Titillium Web"/>
                <w:i/>
                <w:iCs/>
                <w:szCs w:val="24"/>
              </w:rPr>
              <w:t>Si rinvennero i frammenti di tavole di legno del coperchio e del fondo della cassa</w:t>
            </w:r>
          </w:p>
          <w:p w14:paraId="59FBCA64" w14:textId="77777777" w:rsidR="00576D7B" w:rsidRPr="005F79EB" w:rsidRDefault="002D64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9EB">
              <w:rPr>
                <w:rFonts w:ascii="Titillium Web" w:hAnsi="Titillium Web"/>
                <w:i/>
                <w:iCs/>
                <w:szCs w:val="24"/>
              </w:rPr>
              <w:t>Lo scheletro presso la mano destra aveva:</w:t>
            </w:r>
          </w:p>
          <w:p w14:paraId="2B905218" w14:textId="77777777" w:rsidR="00576D7B" w:rsidRPr="005F79EB" w:rsidRDefault="002D64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9EB">
              <w:rPr>
                <w:rFonts w:ascii="Titillium Web" w:hAnsi="Titillium Web"/>
                <w:i/>
                <w:iCs/>
                <w:szCs w:val="24"/>
              </w:rPr>
              <w:t>1 oggetto di piombo, cuneiforme, con un foro pervio: sembra una fusaiola.</w:t>
            </w:r>
          </w:p>
          <w:p w14:paraId="5AAA2E8B" w14:textId="77777777" w:rsidR="00576D7B" w:rsidRPr="005F79EB" w:rsidRDefault="002D64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9EB">
              <w:rPr>
                <w:rFonts w:ascii="Titillium Web" w:hAnsi="Titillium Web"/>
                <w:i/>
                <w:iCs/>
                <w:szCs w:val="24"/>
              </w:rPr>
              <w:t>Lungo il fianco destro dello scheletro si raccolsero:</w:t>
            </w:r>
          </w:p>
          <w:p w14:paraId="4DC883CE" w14:textId="77777777" w:rsidR="00576D7B" w:rsidRPr="005F79EB" w:rsidRDefault="002D64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9EB">
              <w:rPr>
                <w:rFonts w:ascii="Titillium Web" w:hAnsi="Titillium Web"/>
                <w:i/>
                <w:iCs/>
                <w:szCs w:val="24"/>
              </w:rPr>
              <w:t>2 oinochoai a vern. n. scadente, a forma di fiasco con bocca trilobata: uno intero e l’altro slabbrato.</w:t>
            </w:r>
          </w:p>
          <w:p w14:paraId="20755299" w14:textId="77777777" w:rsidR="00576D7B" w:rsidRPr="005F79EB" w:rsidRDefault="002D64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9EB">
              <w:rPr>
                <w:rFonts w:ascii="Titillium Web" w:hAnsi="Titillium Web"/>
                <w:i/>
                <w:iCs/>
                <w:szCs w:val="24"/>
              </w:rPr>
              <w:t>1 altro oinocoe a forma di fiasco con bocca trilobata di argilla giallastra e con disegni di testone e palmette.</w:t>
            </w:r>
          </w:p>
          <w:p w14:paraId="4FEE8C7A" w14:textId="77777777" w:rsidR="00576D7B" w:rsidRPr="005F79EB" w:rsidRDefault="002D64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9EB">
              <w:rPr>
                <w:rFonts w:ascii="Titillium Web" w:hAnsi="Titillium Web"/>
                <w:i/>
                <w:iCs/>
                <w:szCs w:val="24"/>
              </w:rPr>
              <w:t>(Scarto di fornace e slabbrato)</w:t>
            </w:r>
          </w:p>
          <w:p w14:paraId="0D8FF672" w14:textId="77777777" w:rsidR="00576D7B" w:rsidRPr="005F79EB" w:rsidRDefault="002D64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9EB">
              <w:rPr>
                <w:rFonts w:ascii="Titillium Web" w:hAnsi="Titillium Web"/>
                <w:i/>
                <w:iCs/>
                <w:szCs w:val="24"/>
              </w:rPr>
              <w:t>1 piatto per pesce a vern. n. scadente, intero</w:t>
            </w:r>
          </w:p>
          <w:p w14:paraId="66EE29E3" w14:textId="77777777" w:rsidR="00576D7B" w:rsidRPr="005F79EB" w:rsidRDefault="002D648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F79E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F79EB">
              <w:rPr>
                <w:rFonts w:ascii="Titillium Web" w:hAnsi="Titillium Web"/>
                <w:i/>
                <w:iCs/>
                <w:szCs w:val="24"/>
              </w:rPr>
              <w:t xml:space="preserve"> vasetti sferici, a bocca circolare, a vern. nera scadente; interi, senza anse;</w:t>
            </w:r>
          </w:p>
          <w:p w14:paraId="59C9C553" w14:textId="77777777" w:rsidR="00576D7B" w:rsidRPr="005F79EB" w:rsidRDefault="002D64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9EB">
              <w:rPr>
                <w:rFonts w:ascii="Titillium Web" w:hAnsi="Titillium Web"/>
                <w:i/>
                <w:iCs/>
                <w:szCs w:val="24"/>
              </w:rPr>
              <w:t>1 kotylos a vern. nera scadente, di forma semisferica: è in frammenti</w:t>
            </w:r>
          </w:p>
          <w:p w14:paraId="2CA3F584" w14:textId="77777777" w:rsidR="00576D7B" w:rsidRPr="005F79EB" w:rsidRDefault="002D648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F79EB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5F79EB">
              <w:rPr>
                <w:rFonts w:ascii="Titillium Web" w:hAnsi="Titillium Web"/>
                <w:i/>
                <w:iCs/>
                <w:szCs w:val="24"/>
              </w:rPr>
              <w:t xml:space="preserve"> tazze a vern. n. scadente (due intere)</w:t>
            </w:r>
          </w:p>
          <w:p w14:paraId="290EA62A" w14:textId="77777777" w:rsidR="00576D7B" w:rsidRPr="005F79EB" w:rsidRDefault="002D64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9EB">
              <w:rPr>
                <w:rFonts w:ascii="Titillium Web" w:hAnsi="Titillium Web"/>
                <w:i/>
                <w:iCs/>
                <w:szCs w:val="24"/>
              </w:rPr>
              <w:lastRenderedPageBreak/>
              <w:t>1 scodellino a vern. n. scadente, con pieduccio a cordoni: è intero</w:t>
            </w:r>
          </w:p>
          <w:p w14:paraId="32097199" w14:textId="77777777" w:rsidR="00576D7B" w:rsidRPr="005F79EB" w:rsidRDefault="002D648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F79E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F79EB">
              <w:rPr>
                <w:rFonts w:ascii="Titillium Web" w:hAnsi="Titillium Web"/>
                <w:i/>
                <w:iCs/>
                <w:szCs w:val="24"/>
              </w:rPr>
              <w:t xml:space="preserve"> piattelli a vern. nera scadente.</w:t>
            </w:r>
          </w:p>
        </w:tc>
      </w:tr>
      <w:tr w:rsidR="0086297F" w:rsidRPr="005F79E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F79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9EB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F79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9EB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F79E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F79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9E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F79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9EB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5F79E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F79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9E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F79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9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79E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F79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9E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F79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5F79EB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5F79E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F79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9E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F57DA57" w14:textId="77777777" w:rsidR="00576D7B" w:rsidRPr="005F79EB" w:rsidRDefault="002D6481" w:rsidP="005F79EB">
            <w:pPr>
              <w:jc w:val="center"/>
              <w:rPr>
                <w:rFonts w:ascii="Titillium Web" w:hAnsi="Titillium Web"/>
                <w:szCs w:val="24"/>
              </w:rPr>
            </w:pPr>
            <w:r w:rsidRPr="005F79EB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5F79EB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76D7B"/>
    <w:rsid w:val="005B5AFF"/>
    <w:rsid w:val="005F79EB"/>
    <w:rsid w:val="006162A4"/>
    <w:rsid w:val="006346F7"/>
    <w:rsid w:val="006D6EFB"/>
    <w:rsid w:val="007145BC"/>
    <w:rsid w:val="0086297F"/>
    <w:rsid w:val="008F33EB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2026-05-14T18:46:00Z</dcterms:modified>
</cp:coreProperties>
</file>