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683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5561F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5561F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5561F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5561F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5561F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5561F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5561F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5561F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5561F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B2A13E2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Tomba 683 a umazione -</w:t>
            </w:r>
          </w:p>
          <w:p w14:paraId="68496BB0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A m. 13,50 dal B, a m. 8,40 a sud della linea di questo nuovo scavo (m. 262 dal Donna Bianca) a m. 1,10 di profondità si rinviene una tomba con scheletro orientato da NO a </w:t>
            </w:r>
            <w:proofErr w:type="gramStart"/>
            <w:r w:rsidRPr="005561F9">
              <w:rPr>
                <w:rFonts w:ascii="Titillium Web" w:hAnsi="Titillium Web"/>
                <w:i/>
                <w:iCs/>
                <w:szCs w:val="24"/>
              </w:rPr>
              <w:t>SE</w:t>
            </w:r>
            <w:proofErr w:type="gramEnd"/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 gradi 340</w:t>
            </w:r>
          </w:p>
          <w:p w14:paraId="63B52DAE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Presso il cranio a destra erano:</w:t>
            </w:r>
          </w:p>
          <w:p w14:paraId="38A657E2" w14:textId="6991B99B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2 oinokoai a bocca trilobata, a figure nere; uno è intero e rappresenta un satiro che reca in mano un’anfora </w:t>
            </w:r>
            <w:r w:rsidR="005561F9" w:rsidRPr="005561F9">
              <w:rPr>
                <w:rFonts w:ascii="Titillium Web" w:hAnsi="Titillium Web"/>
                <w:i/>
                <w:iCs/>
                <w:szCs w:val="24"/>
              </w:rPr>
              <w:t>vinaria,</w:t>
            </w:r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 l’altro è leggermente frammentario nel collo (restaurabile per intero); rappresenta un bove? davanti ad un’ara.</w:t>
            </w:r>
          </w:p>
          <w:p w14:paraId="6086539D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Lungo il fianco destro dello scheletro</w:t>
            </w:r>
          </w:p>
          <w:p w14:paraId="1C429810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1 kotyle troncoconico, a ver.n., frammentario nel fondo</w:t>
            </w:r>
          </w:p>
          <w:p w14:paraId="41D0521D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561F9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 tazze a vern. nera, con piede alto, liscie (una intera)</w:t>
            </w:r>
          </w:p>
          <w:p w14:paraId="6FEAF421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1 altra idem più piccola, in frammenti.</w:t>
            </w:r>
          </w:p>
          <w:p w14:paraId="23A48EC6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1 tazzina apoda a vern. nera scadente, intera</w:t>
            </w:r>
          </w:p>
          <w:p w14:paraId="7B061446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561F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 scodellini piccoli di argilla giallastra, grezzi.</w:t>
            </w:r>
          </w:p>
          <w:p w14:paraId="3344B32C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5561F9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5561F9">
              <w:rPr>
                <w:rFonts w:ascii="Titillium Web" w:hAnsi="Titillium Web"/>
                <w:i/>
                <w:iCs/>
                <w:szCs w:val="24"/>
              </w:rPr>
              <w:t xml:space="preserve"> piatti ad alto piede, di argilla giallastra, interi (due conservano grafita nel piede una sigla [ndr: presenta disegno della sigla]).</w:t>
            </w:r>
          </w:p>
          <w:p w14:paraId="6D9A6EA1" w14:textId="77777777" w:rsidR="00FB7D5F" w:rsidRPr="005561F9" w:rsidRDefault="0082689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5561F9">
              <w:rPr>
                <w:rFonts w:ascii="Titillium Web" w:hAnsi="Titillium Web"/>
                <w:i/>
                <w:iCs/>
                <w:szCs w:val="24"/>
              </w:rPr>
              <w:t>Si rinvennero traccie lievissime di legno e di calce.</w:t>
            </w:r>
          </w:p>
        </w:tc>
      </w:tr>
      <w:tr w:rsidR="0086297F" w:rsidRPr="005561F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5561F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61F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61F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5561F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5561F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5561F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5561F9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589319E9" w14:textId="77777777" w:rsidR="00FB7D5F" w:rsidRPr="005561F9" w:rsidRDefault="00826890" w:rsidP="005561F9">
            <w:pPr>
              <w:jc w:val="center"/>
              <w:rPr>
                <w:rFonts w:ascii="Titillium Web" w:hAnsi="Titillium Web"/>
                <w:szCs w:val="24"/>
              </w:rPr>
            </w:pPr>
            <w:r w:rsidRPr="005561F9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5561F9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1D61A7"/>
    <w:rsid w:val="002977D7"/>
    <w:rsid w:val="00472AF4"/>
    <w:rsid w:val="00551AF8"/>
    <w:rsid w:val="005561F9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FB7D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226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2026-05-14T18:45:00Z</dcterms:modified>
</cp:coreProperties>
</file>