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70E0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70E0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70E0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70E0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70E0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E70E0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70E0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0E0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70E0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BFD2DA" w14:textId="77777777" w:rsidR="004541D7" w:rsidRPr="00E70E02" w:rsidRDefault="008317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0E02">
              <w:rPr>
                <w:rFonts w:ascii="Titillium Web" w:hAnsi="Titillium Web"/>
                <w:i/>
                <w:iCs/>
                <w:szCs w:val="24"/>
              </w:rPr>
              <w:t>Tomba 690 a umazione</w:t>
            </w:r>
          </w:p>
          <w:p w14:paraId="2A08B662" w14:textId="77777777" w:rsidR="004541D7" w:rsidRPr="00E70E02" w:rsidRDefault="008317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0E02">
              <w:rPr>
                <w:rFonts w:ascii="Titillium Web" w:hAnsi="Titillium Web"/>
                <w:i/>
                <w:iCs/>
                <w:szCs w:val="24"/>
              </w:rPr>
              <w:t>A m. 36,70 dal B, a m. 30,15 a sud della linea del nuovo scavo, a m. 0,85 di profondità si rinviene una tomba a umazione.</w:t>
            </w:r>
          </w:p>
          <w:p w14:paraId="2B49A87E" w14:textId="77777777" w:rsidR="004541D7" w:rsidRPr="00E70E02" w:rsidRDefault="008317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0E02">
              <w:rPr>
                <w:rFonts w:ascii="Titillium Web" w:hAnsi="Titillium Web"/>
                <w:i/>
                <w:iCs/>
                <w:szCs w:val="24"/>
              </w:rPr>
              <w:t>Lo scheletro è completamente marcito e sopra alle ossa sono disposti i seguenti piattelli e vasetti.</w:t>
            </w:r>
          </w:p>
          <w:p w14:paraId="43D1A9EA" w14:textId="77777777" w:rsidR="004541D7" w:rsidRPr="00E70E02" w:rsidRDefault="008317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0E02">
              <w:rPr>
                <w:rFonts w:ascii="Titillium Web" w:hAnsi="Titillium Web"/>
                <w:i/>
                <w:iCs/>
                <w:szCs w:val="24"/>
              </w:rPr>
              <w:t>2 oinockoai a forma di fiasca, a ver. nera scadente con bocca trilobata / uno conserva pennellate e puntini in giro presso il collo: di fattura tozza.</w:t>
            </w:r>
          </w:p>
          <w:p w14:paraId="5D703C10" w14:textId="77777777" w:rsidR="004541D7" w:rsidRPr="00E70E02" w:rsidRDefault="0083176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0E02">
              <w:rPr>
                <w:rFonts w:ascii="Titillium Web" w:hAnsi="Titillium Web"/>
                <w:i/>
                <w:iCs/>
                <w:szCs w:val="24"/>
              </w:rPr>
              <w:t>1 piccolo kotylos a vern. nera scadente, intero</w:t>
            </w:r>
          </w:p>
          <w:p w14:paraId="35BD2BA6" w14:textId="77777777" w:rsidR="004541D7" w:rsidRPr="00E70E02" w:rsidRDefault="0083176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70E0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70E02">
              <w:rPr>
                <w:rFonts w:ascii="Titillium Web" w:hAnsi="Titillium Web"/>
                <w:i/>
                <w:iCs/>
                <w:szCs w:val="24"/>
              </w:rPr>
              <w:t xml:space="preserve"> tazzette a vern. nera scadente</w:t>
            </w:r>
          </w:p>
          <w:p w14:paraId="3540401E" w14:textId="77777777" w:rsidR="004541D7" w:rsidRPr="00E70E02" w:rsidRDefault="0083176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70E02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E70E02">
              <w:rPr>
                <w:rFonts w:ascii="Titillium Web" w:hAnsi="Titillium Web"/>
                <w:i/>
                <w:iCs/>
                <w:szCs w:val="24"/>
              </w:rPr>
              <w:t xml:space="preserve"> piccoli piattelli a vern. nera, scadente.</w:t>
            </w:r>
          </w:p>
        </w:tc>
      </w:tr>
      <w:tr w:rsidR="0086297F" w:rsidRPr="00E70E0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E70E0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0E0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0E0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70E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0E0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70E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0E0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E89D4E" w14:textId="77777777" w:rsidR="004541D7" w:rsidRPr="00E70E02" w:rsidRDefault="0083176D" w:rsidP="00E70E02">
            <w:pPr>
              <w:jc w:val="center"/>
              <w:rPr>
                <w:rFonts w:ascii="Titillium Web" w:hAnsi="Titillium Web"/>
                <w:szCs w:val="24"/>
              </w:rPr>
            </w:pPr>
            <w:r w:rsidRPr="00E70E0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70E0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541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142E2"/>
    <w:rsid w:val="00D900AB"/>
    <w:rsid w:val="00D936E8"/>
    <w:rsid w:val="00E24633"/>
    <w:rsid w:val="00E7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2026-05-14T18:41:00Z</dcterms:modified>
</cp:coreProperties>
</file>