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D3648A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D3648A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D3648A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D3648A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D3648A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0,80 m</w:t>
            </w:r>
          </w:p>
        </w:tc>
      </w:tr>
      <w:tr w:rsidR="001B5504" w:rsidRPr="00D3648A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D3648A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1EF5F976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1B5504" w:rsidRPr="00D3648A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2B945833" w:rsidR="001B5504" w:rsidRPr="00D3648A" w:rsidRDefault="00011AEC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Ciottolo </w:t>
            </w:r>
            <w:r w:rsidR="0027538D" w:rsidRPr="00D3648A">
              <w:rPr>
                <w:rFonts w:ascii="Titillium Web" w:hAnsi="Titillium Web"/>
                <w:szCs w:val="24"/>
              </w:rPr>
              <w:t>fluviale</w:t>
            </w:r>
          </w:p>
        </w:tc>
      </w:tr>
      <w:tr w:rsidR="001B5504" w:rsidRPr="00D3648A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D3648A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78CA7D87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Lì 9 maggio –</w:t>
            </w:r>
          </w:p>
          <w:p w14:paraId="0B3E8BBF" w14:textId="44264641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Superiormente a 30 cm di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appare un grosso ciottolo</w:t>
            </w:r>
          </w:p>
          <w:p w14:paraId="7983E0D8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71 Tomba a umazione – </w:t>
            </w:r>
          </w:p>
          <w:p w14:paraId="5355C317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A m 20 lungo l’asse del dosso e a m. 12 a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. dell’asse, alla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di m 0,80 si rinviene uno scheletro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orietato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da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. a lev. completamente marcito.</w:t>
            </w:r>
          </w:p>
          <w:p w14:paraId="1C2A36AE" w14:textId="34E1D555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Non è possibile descriverne il posto preciso che occupavano le suppellettili </w:t>
            </w:r>
            <w:r w:rsidR="00D3648A" w:rsidRPr="00D3648A">
              <w:rPr>
                <w:rFonts w:ascii="Titillium Web" w:hAnsi="Titillium Web" w:cs="Times New Roman"/>
                <w:i/>
                <w:iCs/>
                <w:szCs w:val="24"/>
              </w:rPr>
              <w:t>poiché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furono raccolte fra l’acqua e il fango.</w:t>
            </w:r>
          </w:p>
          <w:p w14:paraId="1A806537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Sul lato destro lo scheletro aveva:</w:t>
            </w:r>
          </w:p>
          <w:p w14:paraId="4AB7A4B4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skyfos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a v.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n. a piede alto e stretto, alti 0,12 (uno è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fram.tato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)</w:t>
            </w:r>
          </w:p>
          <w:p w14:paraId="0236704D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anfora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a v.n. con ansa verticale, intera. Alta 0,18</w:t>
            </w:r>
          </w:p>
          <w:p w14:paraId="7D7EE474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una anfora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a v.n. con beccuccio staccato – alta 0, 15</w:t>
            </w:r>
          </w:p>
          <w:p w14:paraId="080F35F9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altra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anforina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senza anse di terra rossa, liscia – alta cm 9</w:t>
            </w:r>
          </w:p>
          <w:p w14:paraId="4A96575D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bocchino di terra 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giallo-chiara, mancante dell’ansa</w:t>
            </w:r>
          </w:p>
          <w:p w14:paraId="04A276B0" w14:textId="17328CAA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e con la bocca a stelle, mancante del beccuccio; ha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traccie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di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vern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. bruna con graffiti floreali; alto cm 12</w:t>
            </w:r>
          </w:p>
          <w:p w14:paraId="67AFE0A1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6</w:t>
            </w:r>
            <w:proofErr w:type="gramEnd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tazzette a v.n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. fra intere e frammentate</w:t>
            </w:r>
          </w:p>
          <w:p w14:paraId="61495E26" w14:textId="77777777" w:rsidR="00011AEC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gramStart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6</w:t>
            </w:r>
            <w:proofErr w:type="gramEnd"/>
            <w:r w:rsidRPr="00D3648A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piattelli a v.n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. fra interi e </w:t>
            </w:r>
            <w:proofErr w:type="gram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“ “</w:t>
            </w:r>
            <w:proofErr w:type="gramEnd"/>
          </w:p>
          <w:p w14:paraId="1A6B7E7E" w14:textId="6DFC1E32" w:rsidR="001B5504" w:rsidRPr="00D3648A" w:rsidRDefault="00011AEC" w:rsidP="00011AEC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frammenti di altri vasetti.</w:t>
            </w:r>
          </w:p>
        </w:tc>
      </w:tr>
      <w:tr w:rsidR="001B5504" w:rsidRPr="00D3648A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14B778D3" w14:textId="03DA88DE" w:rsidR="00115907" w:rsidRPr="00D3648A" w:rsidRDefault="00115907" w:rsidP="00D3648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t xml:space="preserve">Il corredo era collocato lungo il fianco destro, senza ulteriori specifiche. Fra gli elementi di accompagno figuravano due 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oinochoai</w:t>
            </w:r>
            <w:r w:rsidRPr="00D3648A">
              <w:rPr>
                <w:rFonts w:ascii="Titillium Web" w:hAnsi="Titillium Web" w:cs="Times New Roman"/>
                <w:szCs w:val="24"/>
              </w:rPr>
              <w:t xml:space="preserve"> a becco e due 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skyphoi</w:t>
            </w:r>
            <w:r w:rsidRPr="00D3648A">
              <w:rPr>
                <w:rFonts w:ascii="Titillium Web" w:hAnsi="Titillium Web" w:cs="Times New Roman"/>
                <w:szCs w:val="24"/>
              </w:rPr>
              <w:t xml:space="preserve"> a v.n. locale, nonché un 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D3648A">
              <w:rPr>
                <w:rFonts w:ascii="Titillium Web" w:hAnsi="Titillium Web" w:cs="Times New Roman"/>
                <w:szCs w:val="24"/>
              </w:rPr>
              <w:t xml:space="preserve"> ed un </w:t>
            </w:r>
            <w:proofErr w:type="spellStart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epichysis</w:t>
            </w:r>
            <w:proofErr w:type="spellEnd"/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 xml:space="preserve"> </w:t>
            </w:r>
            <w:r w:rsidRPr="00D3648A">
              <w:rPr>
                <w:rFonts w:ascii="Titillium Web" w:hAnsi="Titillium Web" w:cs="Times New Roman"/>
                <w:szCs w:val="24"/>
              </w:rPr>
              <w:t>di produzione incerta a v.n. (nn. 1-7).</w:t>
            </w:r>
          </w:p>
          <w:p w14:paraId="5DA302DA" w14:textId="71C165F7" w:rsidR="00115907" w:rsidRPr="00D3648A" w:rsidRDefault="00115907" w:rsidP="00D3648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lastRenderedPageBreak/>
              <w:t>Al corredo dovevano appartenere sei ciotole e sei piatti a v.n., fra esemplari integri e frammentari, oltre a ulteriori frr. di vasi non meglio specificati. La genericità delle descrizioni non permette di determinare quali, fra i numerosi reperti conservati, siano effettivamente pertinenti alla sepoltura.</w:t>
            </w:r>
          </w:p>
          <w:p w14:paraId="51B15AFB" w14:textId="2371B336" w:rsidR="00115907" w:rsidRPr="00D3648A" w:rsidRDefault="00115907" w:rsidP="00D3648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t>Diversamente, si dovrebbe ipotizzare la perdita di quattro piatti a v.n.</w:t>
            </w:r>
          </w:p>
          <w:p w14:paraId="1BFC3DB5" w14:textId="5BF4E978" w:rsidR="00115907" w:rsidRPr="00D3648A" w:rsidRDefault="00115907" w:rsidP="00D3648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t>In ogni caso, l’inserimento di un numero maggiore di ciotole a v.n. e degli esemplari in ceramica grigia non modifica l’inquadramento cronologico della tomba.</w:t>
            </w:r>
          </w:p>
          <w:p w14:paraId="36D7F929" w14:textId="5DAD8C0A" w:rsidR="00115907" w:rsidRPr="00D3648A" w:rsidRDefault="00115907" w:rsidP="00D3648A">
            <w:pPr>
              <w:jc w:val="center"/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t>Si segnala, infine, la presenza di un gruppo di circa trenta frr. non inventariati, comprendenti vasi di produzione locale a v.n., in ceramica depurata e grigia, che potrebbero corrispondere ai «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frammenti di altri vasetti</w:t>
            </w:r>
            <w:r w:rsidRPr="00D3648A">
              <w:rPr>
                <w:rFonts w:ascii="Titillium Web" w:hAnsi="Titillium Web" w:cs="Times New Roman"/>
                <w:szCs w:val="24"/>
              </w:rPr>
              <w:t>».</w:t>
            </w:r>
          </w:p>
          <w:p w14:paraId="1A6FC0B3" w14:textId="3FD13075" w:rsidR="008115F2" w:rsidRPr="00D3648A" w:rsidRDefault="008115F2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1. Oinochoe a becco di produzione locale (IG 864; vernice nera)</w:t>
            </w:r>
          </w:p>
          <w:p w14:paraId="4C405830" w14:textId="61247243" w:rsidR="008115F2" w:rsidRPr="00D3648A" w:rsidRDefault="008115F2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2. Oinochoe a becco di produzione locale (IG 865; vernice nera)</w:t>
            </w:r>
          </w:p>
          <w:p w14:paraId="5B83F603" w14:textId="664E18C0" w:rsidR="008115F2" w:rsidRPr="00D3648A" w:rsidRDefault="008115F2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3. Skyphos di produzione locale (IG 862; vernice nera)</w:t>
            </w:r>
          </w:p>
          <w:p w14:paraId="7081C35A" w14:textId="7F444086" w:rsidR="008115F2" w:rsidRPr="00D3648A" w:rsidRDefault="008115F2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4. Skyphos di produzione locale (IG 863; vernice nera)</w:t>
            </w:r>
          </w:p>
          <w:p w14:paraId="3D3053F9" w14:textId="203AEE9C" w:rsidR="008115F2" w:rsidRPr="00D3648A" w:rsidRDefault="008115F2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5. Skyphos di produzione locale (IG 20551; vernice nera)</w:t>
            </w:r>
          </w:p>
          <w:p w14:paraId="0212501A" w14:textId="7E148D74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6. </w:t>
            </w:r>
            <w:r w:rsidR="008115F2" w:rsidRPr="00D3648A">
              <w:rPr>
                <w:rFonts w:ascii="Titillium Web" w:hAnsi="Titillium Web"/>
                <w:szCs w:val="24"/>
              </w:rPr>
              <w:t>Balsamario di produzione incerta (IG 873; vernice nera)</w:t>
            </w:r>
          </w:p>
          <w:p w14:paraId="1397A45A" w14:textId="537F65D0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7. </w:t>
            </w:r>
            <w:proofErr w:type="spellStart"/>
            <w:r w:rsidR="008115F2" w:rsidRPr="00D3648A">
              <w:rPr>
                <w:rFonts w:ascii="Titillium Web" w:hAnsi="Titillium Web"/>
                <w:szCs w:val="24"/>
              </w:rPr>
              <w:t>Epichysis</w:t>
            </w:r>
            <w:proofErr w:type="spellEnd"/>
            <w:r w:rsidR="008115F2" w:rsidRPr="00D3648A">
              <w:rPr>
                <w:rFonts w:ascii="Titillium Web" w:hAnsi="Titillium Web"/>
                <w:szCs w:val="24"/>
              </w:rPr>
              <w:t xml:space="preserve"> di produzione locale (?) (IG 861; vernice nera </w:t>
            </w:r>
            <w:r w:rsidRPr="00D3648A">
              <w:rPr>
                <w:rFonts w:ascii="Titillium Web" w:hAnsi="Titillium Web"/>
                <w:szCs w:val="24"/>
              </w:rPr>
              <w:t>su</w:t>
            </w:r>
            <w:r w:rsidR="008115F2" w:rsidRPr="00D3648A">
              <w:rPr>
                <w:rFonts w:ascii="Titillium Web" w:hAnsi="Titillium Web"/>
                <w:szCs w:val="24"/>
              </w:rPr>
              <w:t>ddipinta)</w:t>
            </w:r>
          </w:p>
          <w:p w14:paraId="3B88DF4C" w14:textId="79EE684F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8.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868; vernice nera)</w:t>
            </w:r>
          </w:p>
          <w:p w14:paraId="0CEB45D9" w14:textId="119B3FC6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9.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866; vernice nera)</w:t>
            </w:r>
          </w:p>
          <w:p w14:paraId="38E34423" w14:textId="326EFEC9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10. </w:t>
            </w:r>
            <w:r w:rsidR="008115F2" w:rsidRPr="00D3648A">
              <w:rPr>
                <w:rFonts w:ascii="Titillium Web" w:hAnsi="Titillium Web"/>
                <w:szCs w:val="24"/>
              </w:rPr>
              <w:t>Ciotola volterrana (IG 872; vernice nera)</w:t>
            </w:r>
          </w:p>
          <w:p w14:paraId="01B9D64C" w14:textId="3B4D7306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11.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859; vernice nera)</w:t>
            </w:r>
          </w:p>
          <w:p w14:paraId="515EE472" w14:textId="3ED80AAE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12.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869; vernice nera)</w:t>
            </w:r>
          </w:p>
          <w:p w14:paraId="406EC428" w14:textId="66D53226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13.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870; vernice nera)</w:t>
            </w:r>
          </w:p>
          <w:p w14:paraId="7467FBBC" w14:textId="6032EAF9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14.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871; vernice nera)</w:t>
            </w:r>
          </w:p>
          <w:p w14:paraId="543146E5" w14:textId="1BB025B7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15. </w:t>
            </w:r>
            <w:r w:rsidR="008115F2" w:rsidRPr="00D3648A">
              <w:rPr>
                <w:rFonts w:ascii="Titillium Web" w:hAnsi="Titillium Web"/>
                <w:szCs w:val="24"/>
              </w:rPr>
              <w:t>Ciotola di produzione locale (IG 20557; vernice nera)</w:t>
            </w:r>
          </w:p>
          <w:p w14:paraId="017992BE" w14:textId="3E9D2611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16. </w:t>
            </w:r>
            <w:r w:rsidR="008115F2" w:rsidRPr="00D3648A">
              <w:rPr>
                <w:rFonts w:ascii="Titillium Web" w:hAnsi="Titillium Web"/>
                <w:szCs w:val="24"/>
              </w:rPr>
              <w:t xml:space="preserve">Ciotola </w:t>
            </w:r>
            <w:r w:rsidRPr="00D3648A">
              <w:rPr>
                <w:rFonts w:ascii="Titillium Web" w:hAnsi="Titillium Web"/>
                <w:szCs w:val="24"/>
              </w:rPr>
              <w:t xml:space="preserve">di produzione </w:t>
            </w:r>
            <w:r w:rsidR="008115F2" w:rsidRPr="00D3648A">
              <w:rPr>
                <w:rFonts w:ascii="Titillium Web" w:hAnsi="Titillium Web"/>
                <w:szCs w:val="24"/>
              </w:rPr>
              <w:t>volterrana (?) (IG 20555; vernice nera)</w:t>
            </w:r>
          </w:p>
          <w:p w14:paraId="2FFF2471" w14:textId="55C409BE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17. </w:t>
            </w:r>
            <w:r w:rsidR="008115F2" w:rsidRPr="00D3648A">
              <w:rPr>
                <w:rFonts w:ascii="Titillium Web" w:hAnsi="Titillium Web"/>
                <w:szCs w:val="24"/>
              </w:rPr>
              <w:t>Piatto su alto piede di produzione locale (IG 20554; vernice nera)</w:t>
            </w:r>
          </w:p>
          <w:p w14:paraId="6A25DD57" w14:textId="294A0031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18.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874; vernice nera)</w:t>
            </w:r>
          </w:p>
          <w:p w14:paraId="49A9333A" w14:textId="40DF659C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lastRenderedPageBreak/>
              <w:t xml:space="preserve">19.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852; ceramica grigia)</w:t>
            </w:r>
          </w:p>
          <w:p w14:paraId="7B1F0757" w14:textId="2471F6E9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20.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853; ceramica grigia)</w:t>
            </w:r>
          </w:p>
          <w:p w14:paraId="70699B8C" w14:textId="21F4B563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21.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855; ceramica grigia)</w:t>
            </w:r>
          </w:p>
          <w:p w14:paraId="1E814F4F" w14:textId="35ED7D94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22.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28320; ceramica grigia)</w:t>
            </w:r>
          </w:p>
          <w:p w14:paraId="61CC5081" w14:textId="2EF2F218" w:rsidR="008115F2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23.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20558; ceramica grigia)</w:t>
            </w:r>
          </w:p>
          <w:p w14:paraId="5EE32F9C" w14:textId="032938A1" w:rsidR="001B5504" w:rsidRPr="00D3648A" w:rsidRDefault="00FC1958" w:rsidP="00D3648A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 xml:space="preserve">24. </w:t>
            </w:r>
            <w:r w:rsidR="008115F2" w:rsidRPr="00D3648A">
              <w:rPr>
                <w:rFonts w:ascii="Titillium Web" w:hAnsi="Titillium Web"/>
                <w:szCs w:val="24"/>
              </w:rPr>
              <w:t>Piatto di produzione locale (IG 854; ceramica grigia)</w:t>
            </w:r>
          </w:p>
        </w:tc>
      </w:tr>
      <w:tr w:rsidR="001B5504" w:rsidRPr="00D3648A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4F266CE5" w:rsidR="001B5504" w:rsidRPr="00D3648A" w:rsidRDefault="0011590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1B5504" w:rsidRPr="00D3648A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52D9AD4F" w:rsidR="001B5504" w:rsidRPr="00D3648A" w:rsidRDefault="00146872" w:rsidP="00D3648A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D3648A">
              <w:rPr>
                <w:rFonts w:ascii="Titillium Web" w:hAnsi="Titillium Web" w:cs="Times New Roman"/>
                <w:szCs w:val="24"/>
              </w:rPr>
              <w:t xml:space="preserve">Si escludono dal corredo vasi di produzione locale a v.n., in ceramica depurata e grigia, oltre ad un </w:t>
            </w:r>
            <w:r w:rsidRPr="00D3648A">
              <w:rPr>
                <w:rFonts w:ascii="Titillium Web" w:hAnsi="Titillium Web" w:cs="Times New Roman"/>
                <w:i/>
                <w:iCs/>
                <w:szCs w:val="24"/>
              </w:rPr>
              <w:t>alabastron</w:t>
            </w:r>
            <w:r w:rsidRPr="00D3648A">
              <w:rPr>
                <w:rFonts w:ascii="Titillium Web" w:hAnsi="Titillium Web" w:cs="Times New Roman"/>
                <w:szCs w:val="24"/>
              </w:rPr>
              <w:t xml:space="preserve"> in pasta vitrea ed una conchigli</w:t>
            </w:r>
            <w:r w:rsidR="00D3648A" w:rsidRPr="00D3648A">
              <w:rPr>
                <w:rFonts w:ascii="Titillium Web" w:hAnsi="Titillium Web" w:cs="Times New Roman"/>
                <w:szCs w:val="24"/>
              </w:rPr>
              <w:t>a.</w:t>
            </w:r>
            <w:r w:rsidRPr="00D3648A">
              <w:rPr>
                <w:rFonts w:ascii="Titillium Web" w:hAnsi="Titillium Web" w:cs="Times New Roman"/>
                <w:szCs w:val="24"/>
              </w:rPr>
              <w:t xml:space="preserve"> La loro esclusione si basa sulla mancata corrispondenza con le descrizioni con le dimensioni riportate dal GdS (tre skyphoi e due coppe).</w:t>
            </w:r>
          </w:p>
        </w:tc>
      </w:tr>
      <w:tr w:rsidR="001B5504" w:rsidRPr="00D3648A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3648A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3648A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D3648A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D3648A">
              <w:rPr>
                <w:rFonts w:ascii="Titillium Web" w:hAnsi="Titillium Web"/>
                <w:szCs w:val="24"/>
              </w:rPr>
              <w:t>275-250 a.C.</w:t>
            </w:r>
          </w:p>
        </w:tc>
      </w:tr>
      <w:tr w:rsidR="001B5504" w:rsidRPr="00D3648A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4C0704A" w:rsidR="001B5504" w:rsidRPr="00D3648A" w:rsidRDefault="00AE7FCB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D3648A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D3648A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3648A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D3648A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1AEC"/>
    <w:rsid w:val="00014214"/>
    <w:rsid w:val="000D72F4"/>
    <w:rsid w:val="00115907"/>
    <w:rsid w:val="00146872"/>
    <w:rsid w:val="001B5504"/>
    <w:rsid w:val="001F2833"/>
    <w:rsid w:val="0027538D"/>
    <w:rsid w:val="0029024B"/>
    <w:rsid w:val="002977D7"/>
    <w:rsid w:val="002F1500"/>
    <w:rsid w:val="00472AF4"/>
    <w:rsid w:val="0057282F"/>
    <w:rsid w:val="005B5AFF"/>
    <w:rsid w:val="0068458A"/>
    <w:rsid w:val="00710B38"/>
    <w:rsid w:val="007145BC"/>
    <w:rsid w:val="007D54CD"/>
    <w:rsid w:val="008115F2"/>
    <w:rsid w:val="008473E0"/>
    <w:rsid w:val="00942E70"/>
    <w:rsid w:val="00943EAC"/>
    <w:rsid w:val="00950348"/>
    <w:rsid w:val="00975CA9"/>
    <w:rsid w:val="00997946"/>
    <w:rsid w:val="009E4922"/>
    <w:rsid w:val="00A52A70"/>
    <w:rsid w:val="00A65B85"/>
    <w:rsid w:val="00AE7FCB"/>
    <w:rsid w:val="00B165C4"/>
    <w:rsid w:val="00B86B2D"/>
    <w:rsid w:val="00BE2CB2"/>
    <w:rsid w:val="00BE63CC"/>
    <w:rsid w:val="00BF212E"/>
    <w:rsid w:val="00C21EE0"/>
    <w:rsid w:val="00C30F5C"/>
    <w:rsid w:val="00CC46E5"/>
    <w:rsid w:val="00D3648A"/>
    <w:rsid w:val="00D54723"/>
    <w:rsid w:val="00DB1668"/>
    <w:rsid w:val="00E0524C"/>
    <w:rsid w:val="00FC1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19</cp:revision>
  <dcterms:created xsi:type="dcterms:W3CDTF">2026-04-28T14:33:00Z</dcterms:created>
  <dcterms:modified xsi:type="dcterms:W3CDTF">2026-05-18T08:35:00Z</dcterms:modified>
</cp:coreProperties>
</file>