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178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D178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178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D178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D178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1D178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178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D178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178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3E0AA7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Tomba 710 a umazione</w:t>
            </w:r>
          </w:p>
          <w:p w14:paraId="2C2B6612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A m 11,85 dal B, a m 17,55 a sud della linea dello scavo, alla profondità di m 0,98 giaceva:</w:t>
            </w:r>
          </w:p>
          <w:p w14:paraId="17F779FE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1D178E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1D178E">
              <w:rPr>
                <w:rFonts w:ascii="Titillium Web" w:hAnsi="Titillium Web"/>
                <w:i/>
                <w:iCs/>
                <w:szCs w:val="24"/>
              </w:rPr>
              <w:t xml:space="preserve"> gradi 340.</w:t>
            </w:r>
          </w:p>
          <w:p w14:paraId="0C0FCCD5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Presso il fianco destro aveva -:</w:t>
            </w:r>
          </w:p>
          <w:p w14:paraId="5531CCC3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oinochoe a forma di fiasco a bocca trilobata con ansa verticale a cordoni, a vern. n. scadente, intero.</w:t>
            </w:r>
          </w:p>
          <w:p w14:paraId="72893652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kotylos imbutiforme, a ver. n. scadente intero</w:t>
            </w:r>
          </w:p>
          <w:p w14:paraId="14F5CDB2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lucernina a forma di ciambella a vern. n., intera.</w:t>
            </w:r>
          </w:p>
          <w:p w14:paraId="34E0DA57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piccola tazzina d’argilla giallo chiara con due anse, è leggermente slabbrata.</w:t>
            </w:r>
          </w:p>
          <w:p w14:paraId="312509AF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vasetto d’argilla giallastra, grezzo, intero</w:t>
            </w:r>
          </w:p>
          <w:p w14:paraId="74F13C63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78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1D178E">
              <w:rPr>
                <w:rFonts w:ascii="Titillium Web" w:hAnsi="Titillium Web"/>
                <w:i/>
                <w:iCs/>
                <w:szCs w:val="24"/>
              </w:rPr>
              <w:t xml:space="preserve"> scodelle a ver. n. intere</w:t>
            </w:r>
          </w:p>
          <w:p w14:paraId="65A69C8C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scodellino apodo, a vern. n. intero</w:t>
            </w:r>
          </w:p>
          <w:p w14:paraId="43D086FE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1 altro idem più piccolo</w:t>
            </w:r>
          </w:p>
          <w:p w14:paraId="31D799D6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7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178E">
              <w:rPr>
                <w:rFonts w:ascii="Titillium Web" w:hAnsi="Titillium Web"/>
                <w:i/>
                <w:iCs/>
                <w:szCs w:val="24"/>
              </w:rPr>
              <w:t xml:space="preserve"> scodelline d’argilla giallastra - grezze -</w:t>
            </w:r>
          </w:p>
          <w:p w14:paraId="37357F3C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78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178E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n. scadete (uno </w:t>
            </w:r>
            <w:proofErr w:type="gramStart"/>
            <w:r w:rsidRPr="001D178E">
              <w:rPr>
                <w:rFonts w:ascii="Titillium Web" w:hAnsi="Titillium Web"/>
                <w:i/>
                <w:iCs/>
                <w:szCs w:val="24"/>
              </w:rPr>
              <w:t>framm.tato</w:t>
            </w:r>
            <w:proofErr w:type="gramEnd"/>
            <w:r w:rsidRPr="001D178E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1A5EE822" w14:textId="77777777" w:rsidR="00070590" w:rsidRPr="001D178E" w:rsidRDefault="00083F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78E">
              <w:rPr>
                <w:rFonts w:ascii="Titillium Web" w:hAnsi="Titillium Web"/>
                <w:i/>
                <w:iCs/>
                <w:szCs w:val="24"/>
              </w:rPr>
              <w:t>Poche conchiglie comuni –</w:t>
            </w:r>
          </w:p>
        </w:tc>
      </w:tr>
      <w:tr w:rsidR="0086297F" w:rsidRPr="001D178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D178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178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178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17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178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17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78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FC10D5" w14:textId="77777777" w:rsidR="00070590" w:rsidRPr="001D178E" w:rsidRDefault="00083F1D" w:rsidP="001D178E">
            <w:pPr>
              <w:jc w:val="center"/>
              <w:rPr>
                <w:rFonts w:ascii="Titillium Web" w:hAnsi="Titillium Web"/>
                <w:szCs w:val="24"/>
              </w:rPr>
            </w:pPr>
            <w:r w:rsidRPr="001D178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D178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0590"/>
    <w:rsid w:val="000D72F4"/>
    <w:rsid w:val="001C17CC"/>
    <w:rsid w:val="001D178E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9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2026-05-14T18:30:00Z</dcterms:modified>
</cp:coreProperties>
</file>