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724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86D8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86D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D8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86D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D8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B86D8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86D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D8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86D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D8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86D8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86D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D8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86D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D8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B86D8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86D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D8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86D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D8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B86D8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86D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D8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86D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D87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B86D8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86D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D8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86D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D8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86D8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86D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D8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86D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D8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86D8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86D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D8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86D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D8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86D8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86D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D8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E771765" w14:textId="77777777" w:rsidR="001510B3" w:rsidRPr="00B86D87" w:rsidRDefault="00B713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D87">
              <w:rPr>
                <w:rFonts w:ascii="Titillium Web" w:hAnsi="Titillium Web"/>
                <w:i/>
                <w:iCs/>
                <w:szCs w:val="24"/>
              </w:rPr>
              <w:t>Tomba 724 - a cremazione -</w:t>
            </w:r>
          </w:p>
          <w:p w14:paraId="19C95A61" w14:textId="77777777" w:rsidR="001510B3" w:rsidRPr="00B86D87" w:rsidRDefault="00B713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D87">
              <w:rPr>
                <w:rFonts w:ascii="Titillium Web" w:hAnsi="Titillium Web"/>
                <w:i/>
                <w:iCs/>
                <w:szCs w:val="24"/>
              </w:rPr>
              <w:t>Negli scorsi anni si era saltato (senza scavarlo) un tratto di terreno (m 58 circa) fra f.2 e l’f 3, perché in gran parte già sconvolto dalle buche eseguite da scavatori clandestini.</w:t>
            </w:r>
          </w:p>
          <w:p w14:paraId="5C9D092A" w14:textId="77777777" w:rsidR="001510B3" w:rsidRPr="00B86D87" w:rsidRDefault="00B713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D87">
              <w:rPr>
                <w:rFonts w:ascii="Titillium Web" w:hAnsi="Titillium Web"/>
                <w:i/>
                <w:iCs/>
                <w:szCs w:val="24"/>
              </w:rPr>
              <w:t>Oggi ho ripreso l’esplorazione di questo tratto che comincia a m 165 a sud della Donna Bianca e si protrae per m 58 a sud fino all’f.3.</w:t>
            </w:r>
          </w:p>
          <w:p w14:paraId="25EA18F7" w14:textId="77777777" w:rsidR="001510B3" w:rsidRPr="00B86D87" w:rsidRDefault="00B713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D87">
              <w:rPr>
                <w:rFonts w:ascii="Titillium Web" w:hAnsi="Titillium Web"/>
                <w:i/>
                <w:iCs/>
                <w:szCs w:val="24"/>
              </w:rPr>
              <w:t>A m 22,20 dal B. a m 0,80 di profondità (sotto precisamente alla linea ideale tracciata a m 165 dal D.B., poggiava</w:t>
            </w:r>
          </w:p>
          <w:p w14:paraId="20CC74C1" w14:textId="77777777" w:rsidR="001510B3" w:rsidRPr="00B86D87" w:rsidRDefault="00B713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D87">
              <w:rPr>
                <w:rFonts w:ascii="Titillium Web" w:hAnsi="Titillium Web"/>
                <w:i/>
                <w:iCs/>
                <w:szCs w:val="24"/>
              </w:rPr>
              <w:t>1 dolietto di forma ovoidale, con due anse ad anello nel ventre completamente marcito.</w:t>
            </w:r>
          </w:p>
          <w:p w14:paraId="5EA7CC5B" w14:textId="77777777" w:rsidR="001510B3" w:rsidRPr="00B86D87" w:rsidRDefault="00B713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D87">
              <w:rPr>
                <w:rFonts w:ascii="Titillium Web" w:hAnsi="Titillium Web"/>
                <w:i/>
                <w:iCs/>
                <w:szCs w:val="24"/>
              </w:rPr>
              <w:t>Entro conteneva le ossa combuste e sopra a queste:</w:t>
            </w:r>
          </w:p>
          <w:p w14:paraId="66579A65" w14:textId="77777777" w:rsidR="001510B3" w:rsidRPr="00B86D87" w:rsidRDefault="00B713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D87">
              <w:rPr>
                <w:rFonts w:ascii="Titillium Web" w:hAnsi="Titillium Web"/>
                <w:i/>
                <w:iCs/>
                <w:szCs w:val="24"/>
              </w:rPr>
              <w:t>1 Lekythos a fig. n. con il bocchiolo staccato</w:t>
            </w:r>
          </w:p>
          <w:p w14:paraId="49CAFEA4" w14:textId="77777777" w:rsidR="001510B3" w:rsidRPr="00B86D87" w:rsidRDefault="00B713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D87">
              <w:rPr>
                <w:rFonts w:ascii="Titillium Web" w:hAnsi="Titillium Web"/>
                <w:i/>
                <w:iCs/>
                <w:szCs w:val="24"/>
              </w:rPr>
              <w:t>1 fusaiola d’argilla cenere scuro, grezza.</w:t>
            </w:r>
          </w:p>
          <w:p w14:paraId="0B97AD47" w14:textId="77777777" w:rsidR="001510B3" w:rsidRPr="00B86D87" w:rsidRDefault="00B713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D87">
              <w:rPr>
                <w:rFonts w:ascii="Titillium Web" w:hAnsi="Titillium Web"/>
                <w:i/>
                <w:iCs/>
                <w:szCs w:val="24"/>
              </w:rPr>
              <w:t>1 aryballos piccolino a v.n. molto logorato</w:t>
            </w:r>
          </w:p>
          <w:p w14:paraId="54DF2C26" w14:textId="77777777" w:rsidR="001510B3" w:rsidRPr="00B86D87" w:rsidRDefault="00B713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D87">
              <w:rPr>
                <w:rFonts w:ascii="Titillium Web" w:hAnsi="Titillium Web"/>
                <w:i/>
                <w:iCs/>
                <w:szCs w:val="24"/>
              </w:rPr>
              <w:t>Il dolio non fu raccolto</w:t>
            </w:r>
          </w:p>
          <w:p w14:paraId="10AD7FDB" w14:textId="77777777" w:rsidR="001510B3" w:rsidRPr="00B86D87" w:rsidRDefault="00B713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D87">
              <w:rPr>
                <w:rFonts w:ascii="Titillium Web" w:hAnsi="Titillium Web"/>
                <w:i/>
                <w:iCs/>
                <w:szCs w:val="24"/>
              </w:rPr>
              <w:t>Era coperto da una ciottola di argilla cenere scura grezza, anch’essa marcita e non raccolta.</w:t>
            </w:r>
          </w:p>
        </w:tc>
      </w:tr>
      <w:tr w:rsidR="0086297F" w:rsidRPr="00B86D8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86D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D8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86D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D87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B86D8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86D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D8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86D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D87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B86D8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86D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D8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86D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D8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86D8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86D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D8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86D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D8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86D8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86D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D8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B0EA410" w14:textId="7AB7CA38" w:rsidR="001510B3" w:rsidRPr="00B86D87" w:rsidRDefault="00B86D87" w:rsidP="00B86D87">
            <w:pPr>
              <w:jc w:val="center"/>
              <w:rPr>
                <w:rFonts w:ascii="Titillium Web" w:hAnsi="Titillium Web"/>
                <w:szCs w:val="24"/>
              </w:rPr>
            </w:pPr>
            <w:r w:rsidRPr="00B86D87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B86D87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  <w:r>
              <w:rPr>
                <w:rFonts w:ascii="Titillium Web" w:eastAsia="Titillium" w:hAnsi="Titillium Web" w:cs="Titillium"/>
                <w:szCs w:val="24"/>
              </w:rPr>
              <w:t xml:space="preserve">; </w:t>
            </w:r>
            <w:r w:rsidR="00B713F0" w:rsidRPr="00B86D87">
              <w:rPr>
                <w:rFonts w:ascii="Titillium Web" w:eastAsia="Titillium" w:hAnsi="Titillium Web" w:cs="Titillium"/>
                <w:smallCaps/>
                <w:szCs w:val="24"/>
              </w:rPr>
              <w:t>Parrini</w:t>
            </w:r>
            <w:r w:rsidR="00B713F0" w:rsidRPr="00B86D87">
              <w:rPr>
                <w:rFonts w:ascii="Titillium Web" w:eastAsia="Titillium" w:hAnsi="Titillium Web" w:cs="Titillium"/>
                <w:szCs w:val="24"/>
              </w:rPr>
              <w:t xml:space="preserve"> 2021, pp. 296-297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510B3"/>
    <w:rsid w:val="001C17CC"/>
    <w:rsid w:val="001C48B2"/>
    <w:rsid w:val="002977D7"/>
    <w:rsid w:val="002A19E9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86D87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2026-05-14T17:27:00Z</dcterms:modified>
</cp:coreProperties>
</file>