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73</w:t>
      </w:r>
    </w:p>
    <w:tbl>
      <w:tblPr>
        <w:tblStyle w:val="Grigliatabella"/>
        <w:tblW w:w="5000" w:type="pct"/>
        <w:jc w:val="center"/>
        <w:tblLook w:val="04A0" w:firstRow="1" w:lastRow="0" w:firstColumn="1" w:lastColumn="0" w:noHBand="0" w:noVBand="1"/>
      </w:tblPr>
      <w:tblGrid>
        <w:gridCol w:w="2990"/>
        <w:gridCol w:w="6070"/>
      </w:tblGrid>
      <w:tr w:rsidR="001B5504" w:rsidRPr="005016E4" w14:paraId="7E897B51" w14:textId="77777777" w:rsidTr="001B5504">
        <w:trPr>
          <w:jc w:val="center"/>
        </w:trPr>
        <w:tc>
          <w:tcPr>
            <w:tcW w:w="1650" w:type="pct"/>
            <w:vAlign w:val="center"/>
          </w:tcPr>
          <w:p w14:paraId="42CC7784"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Anno di rinvenimento</w:t>
            </w:r>
          </w:p>
        </w:tc>
        <w:tc>
          <w:tcPr>
            <w:tcW w:w="3350" w:type="pct"/>
            <w:vAlign w:val="center"/>
          </w:tcPr>
          <w:p w14:paraId="3911E4F6" w14:textId="6BFD1686" w:rsidR="001B5504" w:rsidRPr="005016E4" w:rsidRDefault="001B5504" w:rsidP="00BF212E">
            <w:pPr>
              <w:jc w:val="center"/>
              <w:rPr>
                <w:rFonts w:ascii="Titillium Web" w:hAnsi="Titillium Web"/>
                <w:szCs w:val="24"/>
              </w:rPr>
            </w:pPr>
            <w:r w:rsidRPr="005016E4">
              <w:rPr>
                <w:rFonts w:ascii="Titillium Web" w:hAnsi="Titillium Web"/>
                <w:szCs w:val="24"/>
              </w:rPr>
              <w:t>1923</w:t>
            </w:r>
          </w:p>
        </w:tc>
      </w:tr>
      <w:tr w:rsidR="001B5504" w:rsidRPr="005016E4" w14:paraId="4120B077" w14:textId="77777777" w:rsidTr="001B5504">
        <w:trPr>
          <w:jc w:val="center"/>
        </w:trPr>
        <w:tc>
          <w:tcPr>
            <w:tcW w:w="1650" w:type="pct"/>
            <w:vAlign w:val="center"/>
          </w:tcPr>
          <w:p w14:paraId="7B4CDD57"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Stato di conservazione della tomba</w:t>
            </w:r>
          </w:p>
        </w:tc>
        <w:tc>
          <w:tcPr>
            <w:tcW w:w="3350" w:type="pct"/>
            <w:vAlign w:val="center"/>
          </w:tcPr>
          <w:p w14:paraId="4ED449D1" w14:textId="4ACE8CD2" w:rsidR="001B5504" w:rsidRPr="005016E4" w:rsidRDefault="006F6899" w:rsidP="00BF212E">
            <w:pPr>
              <w:jc w:val="center"/>
              <w:rPr>
                <w:rFonts w:ascii="Titillium Web" w:hAnsi="Titillium Web"/>
                <w:szCs w:val="24"/>
              </w:rPr>
            </w:pPr>
            <w:r w:rsidRPr="005016E4">
              <w:rPr>
                <w:rFonts w:ascii="Titillium Web" w:hAnsi="Titillium Web"/>
                <w:szCs w:val="24"/>
              </w:rPr>
              <w:t>Intatta</w:t>
            </w:r>
          </w:p>
        </w:tc>
      </w:tr>
      <w:tr w:rsidR="001B5504" w:rsidRPr="005016E4" w14:paraId="7A448E9D" w14:textId="77777777" w:rsidTr="001B5504">
        <w:trPr>
          <w:jc w:val="center"/>
        </w:trPr>
        <w:tc>
          <w:tcPr>
            <w:tcW w:w="1650" w:type="pct"/>
            <w:vAlign w:val="center"/>
          </w:tcPr>
          <w:p w14:paraId="1E1EA165"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Rito di seppellimento</w:t>
            </w:r>
          </w:p>
        </w:tc>
        <w:tc>
          <w:tcPr>
            <w:tcW w:w="3350" w:type="pct"/>
            <w:vAlign w:val="center"/>
          </w:tcPr>
          <w:p w14:paraId="18226334" w14:textId="64678780" w:rsidR="001B5504" w:rsidRPr="005016E4" w:rsidRDefault="006F6899" w:rsidP="00BF212E">
            <w:pPr>
              <w:jc w:val="center"/>
              <w:rPr>
                <w:rFonts w:ascii="Titillium Web" w:hAnsi="Titillium Web"/>
                <w:szCs w:val="24"/>
              </w:rPr>
            </w:pPr>
            <w:r w:rsidRPr="005016E4">
              <w:rPr>
                <w:rFonts w:ascii="Titillium Web" w:hAnsi="Titillium Web"/>
                <w:szCs w:val="24"/>
              </w:rPr>
              <w:t>Resti non rinvenuti</w:t>
            </w:r>
          </w:p>
        </w:tc>
      </w:tr>
      <w:tr w:rsidR="001B5504" w:rsidRPr="005016E4" w14:paraId="31276AA4" w14:textId="77777777" w:rsidTr="001B5504">
        <w:trPr>
          <w:jc w:val="center"/>
        </w:trPr>
        <w:tc>
          <w:tcPr>
            <w:tcW w:w="1650" w:type="pct"/>
            <w:vAlign w:val="center"/>
          </w:tcPr>
          <w:p w14:paraId="33201D3D"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Struttura tomba</w:t>
            </w:r>
          </w:p>
        </w:tc>
        <w:tc>
          <w:tcPr>
            <w:tcW w:w="3350" w:type="pct"/>
            <w:vAlign w:val="center"/>
          </w:tcPr>
          <w:p w14:paraId="720E7EE7" w14:textId="09F94577" w:rsidR="001B5504" w:rsidRPr="005016E4" w:rsidRDefault="00C7384F" w:rsidP="00BF212E">
            <w:pPr>
              <w:jc w:val="center"/>
              <w:rPr>
                <w:rFonts w:ascii="Titillium Web" w:hAnsi="Titillium Web"/>
                <w:szCs w:val="24"/>
              </w:rPr>
            </w:pPr>
            <w:r w:rsidRPr="005016E4">
              <w:rPr>
                <w:rFonts w:ascii="Titillium Web" w:hAnsi="Titillium Web"/>
                <w:szCs w:val="24"/>
              </w:rPr>
              <w:t>Fossa semplice, di forma non registrata</w:t>
            </w:r>
          </w:p>
        </w:tc>
      </w:tr>
      <w:tr w:rsidR="001B5504" w:rsidRPr="005016E4" w14:paraId="07337DA2" w14:textId="77777777" w:rsidTr="001B5504">
        <w:trPr>
          <w:jc w:val="center"/>
        </w:trPr>
        <w:tc>
          <w:tcPr>
            <w:tcW w:w="1650" w:type="pct"/>
            <w:vAlign w:val="center"/>
          </w:tcPr>
          <w:p w14:paraId="5032DFD5"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Profondità dal piano di campagna</w:t>
            </w:r>
          </w:p>
        </w:tc>
        <w:tc>
          <w:tcPr>
            <w:tcW w:w="3350" w:type="pct"/>
            <w:vAlign w:val="center"/>
          </w:tcPr>
          <w:p w14:paraId="4AC1C871" w14:textId="553FE193" w:rsidR="001B5504" w:rsidRPr="005016E4" w:rsidRDefault="001B5504" w:rsidP="00BF212E">
            <w:pPr>
              <w:jc w:val="center"/>
              <w:rPr>
                <w:rFonts w:ascii="Titillium Web" w:hAnsi="Titillium Web"/>
                <w:szCs w:val="24"/>
              </w:rPr>
            </w:pPr>
            <w:r w:rsidRPr="005016E4">
              <w:rPr>
                <w:rFonts w:ascii="Titillium Web" w:hAnsi="Titillium Web"/>
                <w:szCs w:val="24"/>
              </w:rPr>
              <w:t>0,90 m</w:t>
            </w:r>
          </w:p>
        </w:tc>
      </w:tr>
      <w:tr w:rsidR="001B5504" w:rsidRPr="005016E4" w14:paraId="16F9D287" w14:textId="77777777" w:rsidTr="001B5504">
        <w:trPr>
          <w:jc w:val="center"/>
        </w:trPr>
        <w:tc>
          <w:tcPr>
            <w:tcW w:w="1650" w:type="pct"/>
            <w:vAlign w:val="center"/>
          </w:tcPr>
          <w:p w14:paraId="5D675683"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Dimensioni della sepoltura</w:t>
            </w:r>
          </w:p>
        </w:tc>
        <w:tc>
          <w:tcPr>
            <w:tcW w:w="3350" w:type="pct"/>
            <w:vAlign w:val="center"/>
          </w:tcPr>
          <w:p w14:paraId="606ED54D" w14:textId="0EBDB5D9" w:rsidR="001B5504" w:rsidRPr="005016E4" w:rsidRDefault="001B5504" w:rsidP="00BF212E">
            <w:pPr>
              <w:jc w:val="center"/>
              <w:rPr>
                <w:rFonts w:ascii="Titillium Web" w:hAnsi="Titillium Web"/>
                <w:szCs w:val="24"/>
              </w:rPr>
            </w:pPr>
            <w:r w:rsidRPr="005016E4">
              <w:rPr>
                <w:rFonts w:ascii="Titillium Web" w:hAnsi="Titillium Web"/>
                <w:szCs w:val="24"/>
              </w:rPr>
              <w:t>Dimensioni non registrate</w:t>
            </w:r>
          </w:p>
        </w:tc>
      </w:tr>
      <w:tr w:rsidR="001B5504" w:rsidRPr="005016E4" w14:paraId="3DCDE8C5" w14:textId="77777777" w:rsidTr="001B5504">
        <w:trPr>
          <w:jc w:val="center"/>
        </w:trPr>
        <w:tc>
          <w:tcPr>
            <w:tcW w:w="1650" w:type="pct"/>
            <w:vAlign w:val="center"/>
          </w:tcPr>
          <w:p w14:paraId="090E3992"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Orientamento dello scheletro</w:t>
            </w:r>
          </w:p>
        </w:tc>
        <w:tc>
          <w:tcPr>
            <w:tcW w:w="3350" w:type="pct"/>
            <w:vAlign w:val="center"/>
          </w:tcPr>
          <w:p w14:paraId="01C3562F" w14:textId="3AEA95BC" w:rsidR="001B5504" w:rsidRPr="005016E4" w:rsidRDefault="00C7384F" w:rsidP="00BF212E">
            <w:pPr>
              <w:jc w:val="center"/>
              <w:rPr>
                <w:rFonts w:ascii="Titillium Web" w:hAnsi="Titillium Web"/>
                <w:szCs w:val="24"/>
              </w:rPr>
            </w:pPr>
            <w:r w:rsidRPr="005016E4">
              <w:rPr>
                <w:rFonts w:ascii="Titillium Web" w:hAnsi="Titillium Web"/>
                <w:szCs w:val="24"/>
              </w:rPr>
              <w:t>/</w:t>
            </w:r>
          </w:p>
        </w:tc>
      </w:tr>
      <w:tr w:rsidR="001B5504" w:rsidRPr="005016E4" w14:paraId="5978151F" w14:textId="77777777" w:rsidTr="001B5504">
        <w:trPr>
          <w:jc w:val="center"/>
        </w:trPr>
        <w:tc>
          <w:tcPr>
            <w:tcW w:w="1650" w:type="pct"/>
            <w:vAlign w:val="center"/>
          </w:tcPr>
          <w:p w14:paraId="1F67A10B"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Segnacolo</w:t>
            </w:r>
          </w:p>
        </w:tc>
        <w:tc>
          <w:tcPr>
            <w:tcW w:w="3350" w:type="pct"/>
            <w:vAlign w:val="center"/>
          </w:tcPr>
          <w:p w14:paraId="6599D472" w14:textId="547F2D47" w:rsidR="001B5504" w:rsidRPr="005016E4" w:rsidRDefault="00C7384F" w:rsidP="00BF212E">
            <w:pPr>
              <w:jc w:val="center"/>
              <w:rPr>
                <w:rFonts w:ascii="Titillium Web" w:hAnsi="Titillium Web"/>
                <w:szCs w:val="24"/>
              </w:rPr>
            </w:pPr>
            <w:r w:rsidRPr="005016E4">
              <w:rPr>
                <w:rFonts w:ascii="Titillium Web" w:hAnsi="Titillium Web"/>
                <w:szCs w:val="24"/>
              </w:rPr>
              <w:t>/</w:t>
            </w:r>
          </w:p>
        </w:tc>
      </w:tr>
      <w:tr w:rsidR="001B5504" w:rsidRPr="005016E4" w14:paraId="28E05F99" w14:textId="77777777" w:rsidTr="001B5504">
        <w:trPr>
          <w:jc w:val="center"/>
        </w:trPr>
        <w:tc>
          <w:tcPr>
            <w:tcW w:w="1650" w:type="pct"/>
            <w:vAlign w:val="center"/>
          </w:tcPr>
          <w:p w14:paraId="6ECF1BD4" w14:textId="77777777" w:rsidR="001B5504" w:rsidRPr="005016E4" w:rsidRDefault="001B5504" w:rsidP="001F2833">
            <w:pPr>
              <w:spacing w:before="120" w:after="120"/>
              <w:jc w:val="center"/>
              <w:rPr>
                <w:rFonts w:ascii="Titillium Web" w:hAnsi="Titillium Web"/>
                <w:smallCaps/>
                <w:szCs w:val="24"/>
              </w:rPr>
            </w:pPr>
            <w:r w:rsidRPr="005016E4">
              <w:rPr>
                <w:rFonts w:ascii="Titillium Web" w:hAnsi="Titillium Web"/>
                <w:smallCaps/>
                <w:szCs w:val="24"/>
              </w:rPr>
              <w:t>Giornale di scavo (GdS)</w:t>
            </w:r>
          </w:p>
        </w:tc>
        <w:tc>
          <w:tcPr>
            <w:tcW w:w="3350" w:type="pct"/>
            <w:vAlign w:val="center"/>
          </w:tcPr>
          <w:p w14:paraId="104AE76B" w14:textId="77777777" w:rsidR="00107B07" w:rsidRPr="005016E4" w:rsidRDefault="00107B07" w:rsidP="00107B07">
            <w:pPr>
              <w:rPr>
                <w:rFonts w:ascii="Titillium Web" w:hAnsi="Titillium Web" w:cs="Times New Roman"/>
                <w:i/>
                <w:iCs/>
                <w:szCs w:val="24"/>
              </w:rPr>
            </w:pPr>
            <w:r w:rsidRPr="005016E4">
              <w:rPr>
                <w:rFonts w:ascii="Titillium Web" w:hAnsi="Titillium Web" w:cs="Times New Roman"/>
                <w:i/>
                <w:iCs/>
                <w:szCs w:val="24"/>
              </w:rPr>
              <w:t xml:space="preserve">73 Tomba </w:t>
            </w:r>
            <w:proofErr w:type="gramStart"/>
            <w:r w:rsidRPr="005016E4">
              <w:rPr>
                <w:rFonts w:ascii="Titillium Web" w:hAnsi="Titillium Web" w:cs="Times New Roman"/>
                <w:i/>
                <w:iCs/>
                <w:szCs w:val="24"/>
              </w:rPr>
              <w:t>– ?</w:t>
            </w:r>
            <w:proofErr w:type="gramEnd"/>
            <w:r w:rsidRPr="005016E4">
              <w:rPr>
                <w:rFonts w:ascii="Titillium Web" w:hAnsi="Titillium Web" w:cs="Times New Roman"/>
                <w:i/>
                <w:iCs/>
                <w:szCs w:val="24"/>
              </w:rPr>
              <w:t xml:space="preserve"> (non si è trovato </w:t>
            </w:r>
            <w:proofErr w:type="gramStart"/>
            <w:r w:rsidRPr="005016E4">
              <w:rPr>
                <w:rFonts w:ascii="Titillium Web" w:hAnsi="Titillium Web" w:cs="Times New Roman"/>
                <w:i/>
                <w:iCs/>
                <w:szCs w:val="24"/>
              </w:rPr>
              <w:t>ne lo</w:t>
            </w:r>
            <w:proofErr w:type="gramEnd"/>
            <w:r w:rsidRPr="005016E4">
              <w:rPr>
                <w:rFonts w:ascii="Titillium Web" w:hAnsi="Titillium Web" w:cs="Times New Roman"/>
                <w:i/>
                <w:iCs/>
                <w:szCs w:val="24"/>
              </w:rPr>
              <w:t xml:space="preserve"> scheletro </w:t>
            </w:r>
            <w:proofErr w:type="gramStart"/>
            <w:r w:rsidRPr="005016E4">
              <w:rPr>
                <w:rFonts w:ascii="Titillium Web" w:hAnsi="Titillium Web" w:cs="Times New Roman"/>
                <w:i/>
                <w:iCs/>
                <w:szCs w:val="24"/>
              </w:rPr>
              <w:t>ne</w:t>
            </w:r>
            <w:proofErr w:type="gramEnd"/>
            <w:r w:rsidRPr="005016E4">
              <w:rPr>
                <w:rFonts w:ascii="Titillium Web" w:hAnsi="Titillium Web" w:cs="Times New Roman"/>
                <w:i/>
                <w:iCs/>
                <w:szCs w:val="24"/>
              </w:rPr>
              <w:t xml:space="preserve"> l’ossuario)</w:t>
            </w:r>
          </w:p>
          <w:p w14:paraId="249CA6AD" w14:textId="77777777" w:rsidR="00107B07" w:rsidRPr="005016E4" w:rsidRDefault="00107B07" w:rsidP="00107B07">
            <w:pPr>
              <w:rPr>
                <w:rFonts w:ascii="Titillium Web" w:hAnsi="Titillium Web" w:cs="Times New Roman"/>
                <w:i/>
                <w:iCs/>
                <w:szCs w:val="24"/>
              </w:rPr>
            </w:pPr>
            <w:r w:rsidRPr="005016E4">
              <w:rPr>
                <w:rFonts w:ascii="Titillium Web" w:hAnsi="Titillium Web" w:cs="Times New Roman"/>
                <w:i/>
                <w:iCs/>
                <w:szCs w:val="24"/>
              </w:rPr>
              <w:t xml:space="preserve">A m 21 lungo l’asse del dosso e a m 5 a lev. dell’asse, alla </w:t>
            </w:r>
            <w:proofErr w:type="spellStart"/>
            <w:r w:rsidRPr="005016E4">
              <w:rPr>
                <w:rFonts w:ascii="Titillium Web" w:hAnsi="Titillium Web" w:cs="Times New Roman"/>
                <w:i/>
                <w:iCs/>
                <w:szCs w:val="24"/>
              </w:rPr>
              <w:t>prof.tà</w:t>
            </w:r>
            <w:proofErr w:type="spellEnd"/>
            <w:r w:rsidRPr="005016E4">
              <w:rPr>
                <w:rFonts w:ascii="Titillium Web" w:hAnsi="Titillium Web" w:cs="Times New Roman"/>
                <w:i/>
                <w:iCs/>
                <w:szCs w:val="24"/>
              </w:rPr>
              <w:t xml:space="preserve"> di m 0,90 si rinviene un gruppo in cui sono i seguenti oggetti:</w:t>
            </w:r>
          </w:p>
          <w:p w14:paraId="28B2F42B" w14:textId="77777777" w:rsidR="00107B07" w:rsidRPr="005016E4" w:rsidRDefault="00107B07" w:rsidP="00107B07">
            <w:pPr>
              <w:rPr>
                <w:rFonts w:ascii="Titillium Web" w:hAnsi="Titillium Web" w:cs="Times New Roman"/>
                <w:i/>
                <w:iCs/>
                <w:szCs w:val="24"/>
              </w:rPr>
            </w:pPr>
            <w:r w:rsidRPr="005016E4">
              <w:rPr>
                <w:rFonts w:ascii="Titillium Web" w:hAnsi="Titillium Web" w:cs="Times New Roman"/>
                <w:i/>
                <w:iCs/>
                <w:szCs w:val="24"/>
                <w:u w:val="single"/>
              </w:rPr>
              <w:t>2 anfore a v.n.</w:t>
            </w:r>
            <w:r w:rsidRPr="005016E4">
              <w:rPr>
                <w:rFonts w:ascii="Titillium Web" w:hAnsi="Titillium Web" w:cs="Times New Roman"/>
                <w:i/>
                <w:iCs/>
                <w:szCs w:val="24"/>
              </w:rPr>
              <w:t xml:space="preserve"> e bocca trilobata, alte ciascuna 0,25, intere</w:t>
            </w:r>
          </w:p>
          <w:p w14:paraId="744DEDBC" w14:textId="77777777" w:rsidR="00107B07" w:rsidRPr="005016E4" w:rsidRDefault="00107B07" w:rsidP="00107B07">
            <w:pPr>
              <w:rPr>
                <w:rFonts w:ascii="Titillium Web" w:hAnsi="Titillium Web" w:cs="Times New Roman"/>
                <w:i/>
                <w:iCs/>
                <w:szCs w:val="24"/>
              </w:rPr>
            </w:pPr>
            <w:r w:rsidRPr="005016E4">
              <w:rPr>
                <w:rFonts w:ascii="Titillium Web" w:hAnsi="Titillium Web" w:cs="Times New Roman"/>
                <w:i/>
                <w:iCs/>
                <w:szCs w:val="24"/>
                <w:u w:val="single"/>
              </w:rPr>
              <w:t xml:space="preserve">2 </w:t>
            </w:r>
            <w:proofErr w:type="spellStart"/>
            <w:r w:rsidRPr="005016E4">
              <w:rPr>
                <w:rFonts w:ascii="Titillium Web" w:hAnsi="Titillium Web" w:cs="Times New Roman"/>
                <w:i/>
                <w:iCs/>
                <w:szCs w:val="24"/>
                <w:u w:val="single"/>
              </w:rPr>
              <w:t>skyfos</w:t>
            </w:r>
            <w:proofErr w:type="spellEnd"/>
            <w:r w:rsidRPr="005016E4">
              <w:rPr>
                <w:rFonts w:ascii="Titillium Web" w:hAnsi="Titillium Web" w:cs="Times New Roman"/>
                <w:i/>
                <w:iCs/>
                <w:szCs w:val="24"/>
                <w:u w:val="single"/>
              </w:rPr>
              <w:t xml:space="preserve"> a v.n. alti</w:t>
            </w:r>
            <w:r w:rsidRPr="005016E4">
              <w:rPr>
                <w:rFonts w:ascii="Titillium Web" w:hAnsi="Titillium Web" w:cs="Times New Roman"/>
                <w:i/>
                <w:iCs/>
                <w:szCs w:val="24"/>
              </w:rPr>
              <w:t xml:space="preserve"> 0,135 (uno frammentato all’orlo)</w:t>
            </w:r>
          </w:p>
          <w:p w14:paraId="6CA63683" w14:textId="77777777" w:rsidR="00107B07" w:rsidRPr="005016E4" w:rsidRDefault="00107B07" w:rsidP="00107B07">
            <w:pPr>
              <w:rPr>
                <w:rFonts w:ascii="Titillium Web" w:hAnsi="Titillium Web" w:cs="Times New Roman"/>
                <w:i/>
                <w:iCs/>
                <w:szCs w:val="24"/>
              </w:rPr>
            </w:pPr>
            <w:proofErr w:type="gramStart"/>
            <w:r w:rsidRPr="005016E4">
              <w:rPr>
                <w:rFonts w:ascii="Titillium Web" w:hAnsi="Titillium Web" w:cs="Times New Roman"/>
                <w:i/>
                <w:iCs/>
                <w:szCs w:val="24"/>
                <w:u w:val="single"/>
              </w:rPr>
              <w:t>6</w:t>
            </w:r>
            <w:proofErr w:type="gramEnd"/>
            <w:r w:rsidRPr="005016E4">
              <w:rPr>
                <w:rFonts w:ascii="Titillium Web" w:hAnsi="Titillium Web" w:cs="Times New Roman"/>
                <w:i/>
                <w:iCs/>
                <w:szCs w:val="24"/>
                <w:u w:val="single"/>
              </w:rPr>
              <w:t xml:space="preserve"> tazzette</w:t>
            </w:r>
            <w:r w:rsidRPr="005016E4">
              <w:rPr>
                <w:rFonts w:ascii="Titillium Web" w:hAnsi="Titillium Web" w:cs="Times New Roman"/>
                <w:i/>
                <w:iCs/>
                <w:szCs w:val="24"/>
              </w:rPr>
              <w:t xml:space="preserve"> a v.n. fra intere e frammentarie.</w:t>
            </w:r>
          </w:p>
          <w:p w14:paraId="3F862B1D" w14:textId="77777777" w:rsidR="00107B07" w:rsidRPr="005016E4" w:rsidRDefault="00107B07" w:rsidP="00107B07">
            <w:pPr>
              <w:rPr>
                <w:rFonts w:ascii="Titillium Web" w:hAnsi="Titillium Web" w:cs="Times New Roman"/>
                <w:i/>
                <w:iCs/>
                <w:szCs w:val="24"/>
              </w:rPr>
            </w:pPr>
            <w:proofErr w:type="gramStart"/>
            <w:r w:rsidRPr="005016E4">
              <w:rPr>
                <w:rFonts w:ascii="Titillium Web" w:hAnsi="Titillium Web" w:cs="Times New Roman"/>
                <w:i/>
                <w:iCs/>
                <w:szCs w:val="24"/>
                <w:u w:val="single"/>
              </w:rPr>
              <w:t>10</w:t>
            </w:r>
            <w:proofErr w:type="gramEnd"/>
            <w:r w:rsidRPr="005016E4">
              <w:rPr>
                <w:rFonts w:ascii="Titillium Web" w:hAnsi="Titillium Web" w:cs="Times New Roman"/>
                <w:i/>
                <w:iCs/>
                <w:szCs w:val="24"/>
                <w:u w:val="single"/>
              </w:rPr>
              <w:t xml:space="preserve"> piattelli</w:t>
            </w:r>
            <w:r w:rsidRPr="005016E4">
              <w:rPr>
                <w:rFonts w:ascii="Titillium Web" w:hAnsi="Titillium Web" w:cs="Times New Roman"/>
                <w:i/>
                <w:iCs/>
                <w:szCs w:val="24"/>
              </w:rPr>
              <w:t xml:space="preserve"> fra grandi e piccoli, coi </w:t>
            </w:r>
            <w:proofErr w:type="spellStart"/>
            <w:r w:rsidRPr="005016E4">
              <w:rPr>
                <w:rFonts w:ascii="Titillium Web" w:hAnsi="Titillium Web" w:cs="Times New Roman"/>
                <w:i/>
                <w:iCs/>
                <w:szCs w:val="24"/>
              </w:rPr>
              <w:t>pieduccio</w:t>
            </w:r>
            <w:proofErr w:type="spellEnd"/>
            <w:r w:rsidRPr="005016E4">
              <w:rPr>
                <w:rFonts w:ascii="Titillium Web" w:hAnsi="Titillium Web" w:cs="Times New Roman"/>
                <w:i/>
                <w:iCs/>
                <w:szCs w:val="24"/>
              </w:rPr>
              <w:t xml:space="preserve"> e la maggior parte a v.n.</w:t>
            </w:r>
          </w:p>
          <w:p w14:paraId="1930C431" w14:textId="77777777" w:rsidR="00107B07" w:rsidRPr="005016E4" w:rsidRDefault="00107B07" w:rsidP="00107B07">
            <w:pPr>
              <w:rPr>
                <w:rFonts w:ascii="Titillium Web" w:hAnsi="Titillium Web" w:cs="Times New Roman"/>
                <w:i/>
                <w:iCs/>
                <w:szCs w:val="24"/>
              </w:rPr>
            </w:pPr>
            <w:r w:rsidRPr="005016E4">
              <w:rPr>
                <w:rFonts w:ascii="Titillium Web" w:hAnsi="Titillium Web" w:cs="Times New Roman"/>
                <w:i/>
                <w:iCs/>
                <w:szCs w:val="24"/>
                <w:u w:val="single"/>
              </w:rPr>
              <w:t>1 vasetto a forma di olla</w:t>
            </w:r>
            <w:r w:rsidRPr="005016E4">
              <w:rPr>
                <w:rFonts w:ascii="Titillium Web" w:hAnsi="Titillium Web" w:cs="Times New Roman"/>
                <w:i/>
                <w:iCs/>
                <w:szCs w:val="24"/>
              </w:rPr>
              <w:t>, a v.n. frammentato nell’orlo</w:t>
            </w:r>
          </w:p>
          <w:p w14:paraId="1A6B7E7E" w14:textId="1C56656D" w:rsidR="001B5504" w:rsidRPr="005016E4" w:rsidRDefault="00107B07" w:rsidP="00107B07">
            <w:pPr>
              <w:rPr>
                <w:rFonts w:ascii="Titillium Web" w:hAnsi="Titillium Web" w:cs="Times New Roman"/>
                <w:i/>
                <w:iCs/>
                <w:szCs w:val="24"/>
              </w:rPr>
            </w:pPr>
            <w:r w:rsidRPr="005016E4">
              <w:rPr>
                <w:rFonts w:ascii="Titillium Web" w:hAnsi="Titillium Web" w:cs="Times New Roman"/>
                <w:i/>
                <w:iCs/>
                <w:szCs w:val="24"/>
                <w:u w:val="single"/>
              </w:rPr>
              <w:t>una statuina a tutto rilievo</w:t>
            </w:r>
            <w:r w:rsidRPr="005016E4">
              <w:rPr>
                <w:rFonts w:ascii="Titillium Web" w:hAnsi="Titillium Web" w:cs="Times New Roman"/>
                <w:i/>
                <w:iCs/>
                <w:szCs w:val="24"/>
              </w:rPr>
              <w:t xml:space="preserve"> in </w:t>
            </w:r>
            <w:proofErr w:type="gramStart"/>
            <w:r w:rsidRPr="005016E4">
              <w:rPr>
                <w:rFonts w:ascii="Titillium Web" w:hAnsi="Titillium Web" w:cs="Times New Roman"/>
                <w:i/>
                <w:iCs/>
                <w:szCs w:val="24"/>
              </w:rPr>
              <w:t>terra cotta</w:t>
            </w:r>
            <w:proofErr w:type="gramEnd"/>
            <w:r w:rsidRPr="005016E4">
              <w:rPr>
                <w:rFonts w:ascii="Titillium Web" w:hAnsi="Titillium Web" w:cs="Times New Roman"/>
                <w:i/>
                <w:iCs/>
                <w:szCs w:val="24"/>
              </w:rPr>
              <w:t xml:space="preserve"> cenerognola rappresentante una deità seminuda – Ha la testa staccata ed è vuota internamente – è alta m 0,17 circa.</w:t>
            </w:r>
          </w:p>
        </w:tc>
      </w:tr>
      <w:tr w:rsidR="001B5504" w:rsidRPr="005016E4" w14:paraId="4CA65959" w14:textId="77777777" w:rsidTr="001B5504">
        <w:trPr>
          <w:jc w:val="center"/>
        </w:trPr>
        <w:tc>
          <w:tcPr>
            <w:tcW w:w="1650" w:type="pct"/>
            <w:vAlign w:val="center"/>
          </w:tcPr>
          <w:p w14:paraId="42C0306C"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Corredo</w:t>
            </w:r>
          </w:p>
        </w:tc>
        <w:tc>
          <w:tcPr>
            <w:tcW w:w="3350" w:type="pct"/>
            <w:vAlign w:val="center"/>
          </w:tcPr>
          <w:p w14:paraId="16072FB5" w14:textId="2C6B1D6F" w:rsidR="007A4AE6" w:rsidRPr="005016E4" w:rsidRDefault="007A4AE6" w:rsidP="009B2C92">
            <w:pPr>
              <w:jc w:val="center"/>
              <w:rPr>
                <w:rFonts w:ascii="Titillium Web" w:hAnsi="Titillium Web" w:cs="Times New Roman"/>
                <w:szCs w:val="24"/>
              </w:rPr>
            </w:pPr>
            <w:r w:rsidRPr="005016E4">
              <w:rPr>
                <w:rFonts w:ascii="Titillium Web" w:hAnsi="Titillium Web" w:cs="Times New Roman"/>
                <w:szCs w:val="24"/>
              </w:rPr>
              <w:t>F</w:t>
            </w:r>
            <w:r w:rsidRPr="005016E4">
              <w:rPr>
                <w:rFonts w:ascii="Titillium Web" w:hAnsi="Titillium Web" w:cs="Times New Roman"/>
                <w:szCs w:val="24"/>
              </w:rPr>
              <w:t xml:space="preserve">urono rinvenuti, raggruppati e privi dei resti del defunto, gli oggetti del corredo. Il Proni raccolse vasi perlopiù di produzione locale, ma anche volterrana, fra oinochoai, skyphoi, ciotole, piattelli su alto piede ed un’olla (nn. 1-21). A questi si aggiunge una </w:t>
            </w:r>
            <w:proofErr w:type="spellStart"/>
            <w:r w:rsidRPr="005016E4">
              <w:rPr>
                <w:rFonts w:ascii="Titillium Web" w:hAnsi="Titillium Web" w:cs="Times New Roman"/>
                <w:szCs w:val="24"/>
              </w:rPr>
              <w:t>tanagrina</w:t>
            </w:r>
            <w:proofErr w:type="spellEnd"/>
            <w:r w:rsidRPr="005016E4">
              <w:rPr>
                <w:rFonts w:ascii="Titillium Web" w:hAnsi="Titillium Web" w:cs="Times New Roman"/>
                <w:szCs w:val="24"/>
              </w:rPr>
              <w:t xml:space="preserve"> femminile in terracotta, oggi perduta (n. 22*).</w:t>
            </w:r>
          </w:p>
          <w:p w14:paraId="48A6B05D" w14:textId="22DABBD9" w:rsidR="00224DC8" w:rsidRPr="005016E4" w:rsidRDefault="00B8338F" w:rsidP="009B2C92">
            <w:pPr>
              <w:jc w:val="center"/>
              <w:rPr>
                <w:rFonts w:ascii="Titillium Web" w:hAnsi="Titillium Web"/>
                <w:szCs w:val="24"/>
              </w:rPr>
            </w:pPr>
            <w:r w:rsidRPr="005016E4">
              <w:rPr>
                <w:rFonts w:ascii="Titillium Web" w:hAnsi="Titillium Web"/>
                <w:szCs w:val="24"/>
              </w:rPr>
              <w:t xml:space="preserve">1. </w:t>
            </w:r>
            <w:r w:rsidR="00224DC8" w:rsidRPr="005016E4">
              <w:rPr>
                <w:rFonts w:ascii="Titillium Web" w:hAnsi="Titillium Web"/>
                <w:szCs w:val="24"/>
              </w:rPr>
              <w:t>Oinochoe di produzione locale a bocca trilobata (IG 876; vernice nera)</w:t>
            </w:r>
          </w:p>
          <w:p w14:paraId="3DC8B68D" w14:textId="2C4D1D6D" w:rsidR="00224DC8" w:rsidRPr="005016E4" w:rsidRDefault="00B8338F" w:rsidP="009B2C92">
            <w:pPr>
              <w:jc w:val="center"/>
              <w:rPr>
                <w:rFonts w:ascii="Titillium Web" w:hAnsi="Titillium Web"/>
                <w:szCs w:val="24"/>
              </w:rPr>
            </w:pPr>
            <w:r w:rsidRPr="005016E4">
              <w:rPr>
                <w:rFonts w:ascii="Titillium Web" w:hAnsi="Titillium Web"/>
                <w:szCs w:val="24"/>
              </w:rPr>
              <w:t xml:space="preserve">2. </w:t>
            </w:r>
            <w:r w:rsidR="00224DC8" w:rsidRPr="005016E4">
              <w:rPr>
                <w:rFonts w:ascii="Titillium Web" w:hAnsi="Titillium Web"/>
                <w:szCs w:val="24"/>
              </w:rPr>
              <w:t>Oinochoe di produzione locale a bocca trilobata (IG 877; vernice nera)</w:t>
            </w:r>
          </w:p>
          <w:p w14:paraId="58102619" w14:textId="3BA44258" w:rsidR="00224DC8" w:rsidRPr="005016E4" w:rsidRDefault="00B8338F" w:rsidP="009B2C92">
            <w:pPr>
              <w:jc w:val="center"/>
              <w:rPr>
                <w:rFonts w:ascii="Titillium Web" w:hAnsi="Titillium Web"/>
                <w:szCs w:val="24"/>
              </w:rPr>
            </w:pPr>
            <w:r w:rsidRPr="005016E4">
              <w:rPr>
                <w:rFonts w:ascii="Titillium Web" w:hAnsi="Titillium Web"/>
                <w:szCs w:val="24"/>
              </w:rPr>
              <w:t xml:space="preserve">3. </w:t>
            </w:r>
            <w:r w:rsidR="00224DC8" w:rsidRPr="005016E4">
              <w:rPr>
                <w:rFonts w:ascii="Titillium Web" w:hAnsi="Titillium Web"/>
                <w:szCs w:val="24"/>
              </w:rPr>
              <w:t>Skyphos di produzione locale (IG 880; vernice nera)</w:t>
            </w:r>
          </w:p>
          <w:p w14:paraId="7E9275FA" w14:textId="2AD74C01" w:rsidR="00224DC8" w:rsidRPr="005016E4" w:rsidRDefault="00B8338F" w:rsidP="009B2C92">
            <w:pPr>
              <w:jc w:val="center"/>
              <w:rPr>
                <w:rFonts w:ascii="Titillium Web" w:hAnsi="Titillium Web"/>
                <w:szCs w:val="24"/>
              </w:rPr>
            </w:pPr>
            <w:r w:rsidRPr="005016E4">
              <w:rPr>
                <w:rFonts w:ascii="Titillium Web" w:hAnsi="Titillium Web"/>
                <w:szCs w:val="24"/>
              </w:rPr>
              <w:t xml:space="preserve">4. </w:t>
            </w:r>
            <w:r w:rsidR="00224DC8" w:rsidRPr="005016E4">
              <w:rPr>
                <w:rFonts w:ascii="Titillium Web" w:hAnsi="Titillium Web"/>
                <w:szCs w:val="24"/>
              </w:rPr>
              <w:t>Skyphos di produzione locale (?) (IG 881; vernice nera)</w:t>
            </w:r>
          </w:p>
          <w:p w14:paraId="53C50369" w14:textId="3E26B1B1" w:rsidR="00224DC8" w:rsidRPr="005016E4" w:rsidRDefault="00B8338F" w:rsidP="009B2C92">
            <w:pPr>
              <w:jc w:val="center"/>
              <w:rPr>
                <w:rFonts w:ascii="Titillium Web" w:hAnsi="Titillium Web"/>
                <w:szCs w:val="24"/>
              </w:rPr>
            </w:pPr>
            <w:r w:rsidRPr="005016E4">
              <w:rPr>
                <w:rFonts w:ascii="Titillium Web" w:hAnsi="Titillium Web"/>
                <w:szCs w:val="24"/>
              </w:rPr>
              <w:t xml:space="preserve">5. </w:t>
            </w:r>
            <w:r w:rsidR="00224DC8" w:rsidRPr="005016E4">
              <w:rPr>
                <w:rFonts w:ascii="Titillium Web" w:hAnsi="Titillium Web"/>
                <w:szCs w:val="24"/>
              </w:rPr>
              <w:t>Ciotola volterrana (IG 878; vernice nera)</w:t>
            </w:r>
          </w:p>
          <w:p w14:paraId="4820BC45" w14:textId="7E66D92B" w:rsidR="00224DC8" w:rsidRPr="005016E4" w:rsidRDefault="00B8338F" w:rsidP="009B2C92">
            <w:pPr>
              <w:jc w:val="center"/>
              <w:rPr>
                <w:rFonts w:ascii="Titillium Web" w:hAnsi="Titillium Web"/>
                <w:szCs w:val="24"/>
              </w:rPr>
            </w:pPr>
            <w:r w:rsidRPr="005016E4">
              <w:rPr>
                <w:rFonts w:ascii="Titillium Web" w:hAnsi="Titillium Web"/>
                <w:szCs w:val="24"/>
              </w:rPr>
              <w:lastRenderedPageBreak/>
              <w:t xml:space="preserve">6. </w:t>
            </w:r>
            <w:r w:rsidR="00224DC8" w:rsidRPr="005016E4">
              <w:rPr>
                <w:rFonts w:ascii="Titillium Web" w:hAnsi="Titillium Web"/>
                <w:szCs w:val="24"/>
              </w:rPr>
              <w:t>Ciotola volterrana (IG 879; vernice nera)</w:t>
            </w:r>
          </w:p>
          <w:p w14:paraId="2AE376D6" w14:textId="722424D3" w:rsidR="00224DC8" w:rsidRPr="005016E4" w:rsidRDefault="00B8338F" w:rsidP="009B2C92">
            <w:pPr>
              <w:jc w:val="center"/>
              <w:rPr>
                <w:rFonts w:ascii="Titillium Web" w:hAnsi="Titillium Web"/>
                <w:szCs w:val="24"/>
              </w:rPr>
            </w:pPr>
            <w:r w:rsidRPr="005016E4">
              <w:rPr>
                <w:rFonts w:ascii="Titillium Web" w:hAnsi="Titillium Web"/>
                <w:szCs w:val="24"/>
              </w:rPr>
              <w:t xml:space="preserve">7. </w:t>
            </w:r>
            <w:r w:rsidR="00224DC8" w:rsidRPr="005016E4">
              <w:rPr>
                <w:rFonts w:ascii="Titillium Web" w:hAnsi="Titillium Web"/>
                <w:szCs w:val="24"/>
              </w:rPr>
              <w:t>Ciotola di produzione locale (IG 893; vernice nera)</w:t>
            </w:r>
          </w:p>
          <w:p w14:paraId="7352CC6D" w14:textId="556D007C" w:rsidR="00224DC8" w:rsidRPr="005016E4" w:rsidRDefault="00B8338F" w:rsidP="009B2C92">
            <w:pPr>
              <w:jc w:val="center"/>
              <w:rPr>
                <w:rFonts w:ascii="Titillium Web" w:hAnsi="Titillium Web"/>
                <w:szCs w:val="24"/>
              </w:rPr>
            </w:pPr>
            <w:r w:rsidRPr="005016E4">
              <w:rPr>
                <w:rFonts w:ascii="Titillium Web" w:hAnsi="Titillium Web"/>
                <w:szCs w:val="24"/>
              </w:rPr>
              <w:t xml:space="preserve">8. </w:t>
            </w:r>
            <w:r w:rsidR="00224DC8" w:rsidRPr="005016E4">
              <w:rPr>
                <w:rFonts w:ascii="Titillium Web" w:hAnsi="Titillium Web"/>
                <w:szCs w:val="24"/>
              </w:rPr>
              <w:t>Ciotola di produzione locale (IG 894; vernice nera)</w:t>
            </w:r>
          </w:p>
          <w:p w14:paraId="4A7965E3" w14:textId="67BCE87D" w:rsidR="00224DC8" w:rsidRPr="005016E4" w:rsidRDefault="00B8338F" w:rsidP="009B2C92">
            <w:pPr>
              <w:jc w:val="center"/>
              <w:rPr>
                <w:rFonts w:ascii="Titillium Web" w:hAnsi="Titillium Web"/>
                <w:szCs w:val="24"/>
              </w:rPr>
            </w:pPr>
            <w:r w:rsidRPr="005016E4">
              <w:rPr>
                <w:rFonts w:ascii="Titillium Web" w:hAnsi="Titillium Web"/>
                <w:szCs w:val="24"/>
              </w:rPr>
              <w:t xml:space="preserve">9. </w:t>
            </w:r>
            <w:r w:rsidR="00224DC8" w:rsidRPr="005016E4">
              <w:rPr>
                <w:rFonts w:ascii="Titillium Web" w:hAnsi="Titillium Web"/>
                <w:szCs w:val="24"/>
              </w:rPr>
              <w:t>Ciotola di produzione locale (IG 895; vernice nera)</w:t>
            </w:r>
          </w:p>
          <w:p w14:paraId="2E468BB5" w14:textId="6116D8AF" w:rsidR="00224DC8" w:rsidRPr="005016E4" w:rsidRDefault="009B2C92" w:rsidP="009B2C92">
            <w:pPr>
              <w:jc w:val="center"/>
              <w:rPr>
                <w:rFonts w:ascii="Titillium Web" w:hAnsi="Titillium Web"/>
                <w:szCs w:val="24"/>
              </w:rPr>
            </w:pPr>
            <w:r w:rsidRPr="005016E4">
              <w:rPr>
                <w:rFonts w:ascii="Titillium Web" w:hAnsi="Titillium Web"/>
                <w:szCs w:val="24"/>
              </w:rPr>
              <w:t xml:space="preserve">10. </w:t>
            </w:r>
            <w:r w:rsidR="00224DC8" w:rsidRPr="005016E4">
              <w:rPr>
                <w:rFonts w:ascii="Titillium Web" w:hAnsi="Titillium Web"/>
                <w:szCs w:val="24"/>
              </w:rPr>
              <w:t>Ciotola di produzione locale (IG 22125; vernice nera)</w:t>
            </w:r>
          </w:p>
          <w:p w14:paraId="636A7B37" w14:textId="656D75CE" w:rsidR="00224DC8" w:rsidRPr="005016E4" w:rsidRDefault="009B2C92" w:rsidP="009B2C92">
            <w:pPr>
              <w:jc w:val="center"/>
              <w:rPr>
                <w:rFonts w:ascii="Titillium Web" w:hAnsi="Titillium Web"/>
                <w:szCs w:val="24"/>
              </w:rPr>
            </w:pPr>
            <w:r w:rsidRPr="005016E4">
              <w:rPr>
                <w:rFonts w:ascii="Titillium Web" w:hAnsi="Titillium Web"/>
                <w:szCs w:val="24"/>
              </w:rPr>
              <w:t xml:space="preserve">11. </w:t>
            </w:r>
            <w:r w:rsidR="00224DC8" w:rsidRPr="005016E4">
              <w:rPr>
                <w:rFonts w:ascii="Titillium Web" w:hAnsi="Titillium Web"/>
                <w:szCs w:val="24"/>
              </w:rPr>
              <w:t>Piatto su alto piede di produzione locale (IG 883; vernice nera)</w:t>
            </w:r>
          </w:p>
          <w:p w14:paraId="0705CC5E" w14:textId="6BB80599" w:rsidR="00224DC8" w:rsidRPr="005016E4" w:rsidRDefault="009B2C92" w:rsidP="009B2C92">
            <w:pPr>
              <w:jc w:val="center"/>
              <w:rPr>
                <w:rFonts w:ascii="Titillium Web" w:hAnsi="Titillium Web"/>
                <w:szCs w:val="24"/>
              </w:rPr>
            </w:pPr>
            <w:r w:rsidRPr="005016E4">
              <w:rPr>
                <w:rFonts w:ascii="Titillium Web" w:hAnsi="Titillium Web"/>
                <w:szCs w:val="24"/>
              </w:rPr>
              <w:t xml:space="preserve">12. </w:t>
            </w:r>
            <w:r w:rsidR="00224DC8" w:rsidRPr="005016E4">
              <w:rPr>
                <w:rFonts w:ascii="Titillium Web" w:hAnsi="Titillium Web"/>
                <w:szCs w:val="24"/>
              </w:rPr>
              <w:t>Piatto su alto piede di produzione locale (IG 884; vernice nera)</w:t>
            </w:r>
          </w:p>
          <w:p w14:paraId="047DEE65" w14:textId="36561D06" w:rsidR="00224DC8" w:rsidRPr="005016E4" w:rsidRDefault="009B2C92" w:rsidP="009B2C92">
            <w:pPr>
              <w:jc w:val="center"/>
              <w:rPr>
                <w:rFonts w:ascii="Titillium Web" w:hAnsi="Titillium Web"/>
                <w:szCs w:val="24"/>
              </w:rPr>
            </w:pPr>
            <w:r w:rsidRPr="005016E4">
              <w:rPr>
                <w:rFonts w:ascii="Titillium Web" w:hAnsi="Titillium Web"/>
                <w:szCs w:val="24"/>
              </w:rPr>
              <w:t xml:space="preserve">13. </w:t>
            </w:r>
            <w:r w:rsidR="00224DC8" w:rsidRPr="005016E4">
              <w:rPr>
                <w:rFonts w:ascii="Titillium Web" w:hAnsi="Titillium Web"/>
                <w:szCs w:val="24"/>
              </w:rPr>
              <w:t>Piatto su alto piede di produzione locale (IG 885; vernice nera)</w:t>
            </w:r>
          </w:p>
          <w:p w14:paraId="6E2F4DAA" w14:textId="48DE29C9" w:rsidR="00224DC8" w:rsidRPr="005016E4" w:rsidRDefault="009B2C92" w:rsidP="009B2C92">
            <w:pPr>
              <w:jc w:val="center"/>
              <w:rPr>
                <w:rFonts w:ascii="Titillium Web" w:hAnsi="Titillium Web"/>
                <w:szCs w:val="24"/>
              </w:rPr>
            </w:pPr>
            <w:r w:rsidRPr="005016E4">
              <w:rPr>
                <w:rFonts w:ascii="Titillium Web" w:hAnsi="Titillium Web"/>
                <w:szCs w:val="24"/>
              </w:rPr>
              <w:t xml:space="preserve">14. </w:t>
            </w:r>
            <w:r w:rsidR="00224DC8" w:rsidRPr="005016E4">
              <w:rPr>
                <w:rFonts w:ascii="Titillium Web" w:hAnsi="Titillium Web"/>
                <w:szCs w:val="24"/>
              </w:rPr>
              <w:t>Piatto su alto piede di produzione locale (IG 886; vernice nera)</w:t>
            </w:r>
          </w:p>
          <w:p w14:paraId="27C35CB5" w14:textId="67876181" w:rsidR="00224DC8" w:rsidRPr="005016E4" w:rsidRDefault="009B2C92" w:rsidP="009B2C92">
            <w:pPr>
              <w:jc w:val="center"/>
              <w:rPr>
                <w:rFonts w:ascii="Titillium Web" w:hAnsi="Titillium Web"/>
                <w:szCs w:val="24"/>
              </w:rPr>
            </w:pPr>
            <w:r w:rsidRPr="005016E4">
              <w:rPr>
                <w:rFonts w:ascii="Titillium Web" w:hAnsi="Titillium Web"/>
                <w:szCs w:val="24"/>
              </w:rPr>
              <w:t xml:space="preserve">15. </w:t>
            </w:r>
            <w:r w:rsidR="00224DC8" w:rsidRPr="005016E4">
              <w:rPr>
                <w:rFonts w:ascii="Titillium Web" w:hAnsi="Titillium Web"/>
                <w:szCs w:val="24"/>
              </w:rPr>
              <w:t>Piatto su alto piede di produzione locale (IG 887; vernice nera)</w:t>
            </w:r>
          </w:p>
          <w:p w14:paraId="0CC85F9A" w14:textId="6D0D9B6C" w:rsidR="00224DC8" w:rsidRPr="005016E4" w:rsidRDefault="009B2C92" w:rsidP="009B2C92">
            <w:pPr>
              <w:jc w:val="center"/>
              <w:rPr>
                <w:rFonts w:ascii="Titillium Web" w:hAnsi="Titillium Web"/>
                <w:szCs w:val="24"/>
              </w:rPr>
            </w:pPr>
            <w:r w:rsidRPr="005016E4">
              <w:rPr>
                <w:rFonts w:ascii="Titillium Web" w:hAnsi="Titillium Web"/>
                <w:szCs w:val="24"/>
              </w:rPr>
              <w:t xml:space="preserve">16. </w:t>
            </w:r>
            <w:r w:rsidR="00224DC8" w:rsidRPr="005016E4">
              <w:rPr>
                <w:rFonts w:ascii="Titillium Web" w:hAnsi="Titillium Web"/>
                <w:szCs w:val="24"/>
              </w:rPr>
              <w:t>Piatto su alto piede di produzione locale (IG 888; vernice nera)</w:t>
            </w:r>
          </w:p>
          <w:p w14:paraId="7E08543C" w14:textId="208442EA" w:rsidR="00224DC8" w:rsidRPr="005016E4" w:rsidRDefault="009B2C92" w:rsidP="009B2C92">
            <w:pPr>
              <w:jc w:val="center"/>
              <w:rPr>
                <w:rFonts w:ascii="Titillium Web" w:hAnsi="Titillium Web"/>
                <w:szCs w:val="24"/>
              </w:rPr>
            </w:pPr>
            <w:r w:rsidRPr="005016E4">
              <w:rPr>
                <w:rFonts w:ascii="Titillium Web" w:hAnsi="Titillium Web"/>
                <w:szCs w:val="24"/>
              </w:rPr>
              <w:t xml:space="preserve">17. </w:t>
            </w:r>
            <w:r w:rsidR="00224DC8" w:rsidRPr="005016E4">
              <w:rPr>
                <w:rFonts w:ascii="Titillium Web" w:hAnsi="Titillium Web"/>
                <w:szCs w:val="24"/>
              </w:rPr>
              <w:t>Piatto su alto piede di produzione locale (IG 889; vernice nera)</w:t>
            </w:r>
          </w:p>
          <w:p w14:paraId="209471F7" w14:textId="774EB2E5" w:rsidR="00224DC8" w:rsidRPr="005016E4" w:rsidRDefault="009B2C92" w:rsidP="009B2C92">
            <w:pPr>
              <w:jc w:val="center"/>
              <w:rPr>
                <w:rFonts w:ascii="Titillium Web" w:hAnsi="Titillium Web"/>
                <w:szCs w:val="24"/>
              </w:rPr>
            </w:pPr>
            <w:r w:rsidRPr="005016E4">
              <w:rPr>
                <w:rFonts w:ascii="Titillium Web" w:hAnsi="Titillium Web"/>
                <w:szCs w:val="24"/>
              </w:rPr>
              <w:t xml:space="preserve">18. </w:t>
            </w:r>
            <w:r w:rsidR="00224DC8" w:rsidRPr="005016E4">
              <w:rPr>
                <w:rFonts w:ascii="Titillium Web" w:hAnsi="Titillium Web"/>
                <w:szCs w:val="24"/>
              </w:rPr>
              <w:t>Piatto su alto piede di produzione locale (IG 890; vernice nera)</w:t>
            </w:r>
          </w:p>
          <w:p w14:paraId="79E4E76B" w14:textId="15136016" w:rsidR="00224DC8" w:rsidRPr="005016E4" w:rsidRDefault="009B2C92" w:rsidP="009B2C92">
            <w:pPr>
              <w:jc w:val="center"/>
              <w:rPr>
                <w:rFonts w:ascii="Titillium Web" w:hAnsi="Titillium Web"/>
                <w:szCs w:val="24"/>
              </w:rPr>
            </w:pPr>
            <w:r w:rsidRPr="005016E4">
              <w:rPr>
                <w:rFonts w:ascii="Titillium Web" w:hAnsi="Titillium Web"/>
                <w:szCs w:val="24"/>
              </w:rPr>
              <w:t xml:space="preserve">19. </w:t>
            </w:r>
            <w:r w:rsidR="00224DC8" w:rsidRPr="005016E4">
              <w:rPr>
                <w:rFonts w:ascii="Titillium Web" w:hAnsi="Titillium Web"/>
                <w:szCs w:val="24"/>
              </w:rPr>
              <w:t>Piatto su alto piede di produzione locale (IG 891; vernice nera)</w:t>
            </w:r>
          </w:p>
          <w:p w14:paraId="5D8EFA24" w14:textId="3F8543E5" w:rsidR="00224DC8" w:rsidRPr="005016E4" w:rsidRDefault="009B2C92" w:rsidP="009B2C92">
            <w:pPr>
              <w:jc w:val="center"/>
              <w:rPr>
                <w:rFonts w:ascii="Titillium Web" w:hAnsi="Titillium Web"/>
                <w:szCs w:val="24"/>
              </w:rPr>
            </w:pPr>
            <w:r w:rsidRPr="005016E4">
              <w:rPr>
                <w:rFonts w:ascii="Titillium Web" w:hAnsi="Titillium Web"/>
                <w:szCs w:val="24"/>
              </w:rPr>
              <w:t xml:space="preserve">20. </w:t>
            </w:r>
            <w:r w:rsidR="00224DC8" w:rsidRPr="005016E4">
              <w:rPr>
                <w:rFonts w:ascii="Titillium Web" w:hAnsi="Titillium Web"/>
                <w:szCs w:val="24"/>
              </w:rPr>
              <w:t>Piatto su alto piede di produzione locale (IG 28322; vernice nera)</w:t>
            </w:r>
          </w:p>
          <w:p w14:paraId="511F2419" w14:textId="64EF1D47" w:rsidR="00224DC8" w:rsidRPr="005016E4" w:rsidRDefault="009B2C92" w:rsidP="009B2C92">
            <w:pPr>
              <w:jc w:val="center"/>
              <w:rPr>
                <w:rFonts w:ascii="Titillium Web" w:hAnsi="Titillium Web"/>
                <w:szCs w:val="24"/>
              </w:rPr>
            </w:pPr>
            <w:r w:rsidRPr="005016E4">
              <w:rPr>
                <w:rFonts w:ascii="Titillium Web" w:hAnsi="Titillium Web"/>
                <w:szCs w:val="24"/>
              </w:rPr>
              <w:t xml:space="preserve">21. </w:t>
            </w:r>
            <w:r w:rsidR="00224DC8" w:rsidRPr="005016E4">
              <w:rPr>
                <w:rFonts w:ascii="Titillium Web" w:hAnsi="Titillium Web"/>
                <w:szCs w:val="24"/>
              </w:rPr>
              <w:t xml:space="preserve">Olla </w:t>
            </w:r>
            <w:r w:rsidR="00856769" w:rsidRPr="005016E4">
              <w:rPr>
                <w:rFonts w:ascii="Titillium Web" w:hAnsi="Titillium Web"/>
                <w:szCs w:val="24"/>
              </w:rPr>
              <w:t xml:space="preserve">di produzione </w:t>
            </w:r>
            <w:proofErr w:type="spellStart"/>
            <w:r w:rsidR="00856769" w:rsidRPr="005016E4">
              <w:rPr>
                <w:rFonts w:ascii="Titillium Web" w:hAnsi="Titillium Web"/>
                <w:szCs w:val="24"/>
              </w:rPr>
              <w:t>Malacena</w:t>
            </w:r>
            <w:proofErr w:type="spellEnd"/>
            <w:r w:rsidR="00224DC8" w:rsidRPr="005016E4">
              <w:rPr>
                <w:rFonts w:ascii="Titillium Web" w:hAnsi="Titillium Web"/>
                <w:szCs w:val="24"/>
              </w:rPr>
              <w:t xml:space="preserve"> (IG 892; vernice nera)</w:t>
            </w:r>
          </w:p>
          <w:p w14:paraId="5EE32F9C" w14:textId="71432ED3" w:rsidR="001B5504" w:rsidRPr="005016E4" w:rsidRDefault="009B2C92" w:rsidP="009B2C92">
            <w:pPr>
              <w:jc w:val="center"/>
              <w:rPr>
                <w:rFonts w:ascii="Titillium Web" w:hAnsi="Titillium Web"/>
                <w:szCs w:val="24"/>
              </w:rPr>
            </w:pPr>
            <w:r w:rsidRPr="005016E4">
              <w:rPr>
                <w:rFonts w:ascii="Titillium Web" w:hAnsi="Titillium Web"/>
                <w:szCs w:val="24"/>
              </w:rPr>
              <w:t xml:space="preserve">22. </w:t>
            </w:r>
            <w:proofErr w:type="spellStart"/>
            <w:r w:rsidR="00224DC8" w:rsidRPr="005016E4">
              <w:rPr>
                <w:rFonts w:ascii="Titillium Web" w:hAnsi="Titillium Web"/>
                <w:szCs w:val="24"/>
              </w:rPr>
              <w:t>Tanagrina</w:t>
            </w:r>
            <w:proofErr w:type="spellEnd"/>
            <w:r w:rsidR="00224DC8" w:rsidRPr="005016E4">
              <w:rPr>
                <w:rFonts w:ascii="Titillium Web" w:hAnsi="Titillium Web"/>
                <w:szCs w:val="24"/>
              </w:rPr>
              <w:t xml:space="preserve"> femminile (terracotta)</w:t>
            </w:r>
          </w:p>
        </w:tc>
      </w:tr>
      <w:tr w:rsidR="001B5504" w:rsidRPr="005016E4" w14:paraId="520D9732" w14:textId="77777777" w:rsidTr="001B5504">
        <w:trPr>
          <w:jc w:val="center"/>
        </w:trPr>
        <w:tc>
          <w:tcPr>
            <w:tcW w:w="1650" w:type="pct"/>
            <w:vAlign w:val="center"/>
          </w:tcPr>
          <w:p w14:paraId="24BE97D5"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lastRenderedPageBreak/>
              <w:t>Posizione del corredo</w:t>
            </w:r>
          </w:p>
        </w:tc>
        <w:tc>
          <w:tcPr>
            <w:tcW w:w="3350" w:type="pct"/>
            <w:vAlign w:val="center"/>
          </w:tcPr>
          <w:p w14:paraId="3ED37A74" w14:textId="6F8C2BC5" w:rsidR="001B5504" w:rsidRPr="005016E4" w:rsidRDefault="00F610AD" w:rsidP="00BF212E">
            <w:pPr>
              <w:jc w:val="center"/>
              <w:rPr>
                <w:rFonts w:ascii="Titillium Web" w:hAnsi="Titillium Web"/>
                <w:szCs w:val="24"/>
              </w:rPr>
            </w:pPr>
            <w:r w:rsidRPr="005016E4">
              <w:rPr>
                <w:rFonts w:ascii="Titillium Web" w:hAnsi="Titillium Web"/>
                <w:szCs w:val="24"/>
              </w:rPr>
              <w:t>Oggetti in gruppo privi di tracce del defunto</w:t>
            </w:r>
          </w:p>
        </w:tc>
      </w:tr>
      <w:tr w:rsidR="001B5504" w:rsidRPr="005016E4" w14:paraId="05ACB002" w14:textId="77777777" w:rsidTr="001B5504">
        <w:trPr>
          <w:jc w:val="center"/>
        </w:trPr>
        <w:tc>
          <w:tcPr>
            <w:tcW w:w="1650" w:type="pct"/>
            <w:vAlign w:val="center"/>
          </w:tcPr>
          <w:p w14:paraId="6E6E37F2"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Stato di conservazione e affidabilità del corredo</w:t>
            </w:r>
          </w:p>
        </w:tc>
        <w:tc>
          <w:tcPr>
            <w:tcW w:w="3350" w:type="pct"/>
            <w:vAlign w:val="center"/>
          </w:tcPr>
          <w:p w14:paraId="66E8A271" w14:textId="2EE77DC4" w:rsidR="001B5504" w:rsidRPr="005016E4" w:rsidRDefault="003250DD" w:rsidP="003250DD">
            <w:pPr>
              <w:jc w:val="center"/>
              <w:rPr>
                <w:rFonts w:ascii="Titillium Web" w:hAnsi="Titillium Web" w:cs="Times New Roman"/>
                <w:szCs w:val="24"/>
              </w:rPr>
            </w:pPr>
            <w:r w:rsidRPr="005016E4">
              <w:rPr>
                <w:rFonts w:ascii="Titillium Web" w:hAnsi="Titillium Web" w:cs="Times New Roman"/>
                <w:szCs w:val="24"/>
              </w:rPr>
              <w:t>Si escludono dal corredo vasi di produzione attica, locale e volterrana, poiché non corrispondenti alla descrizione fornita dal GdS o non coerenti con la cronologia della sepoltura.</w:t>
            </w:r>
          </w:p>
        </w:tc>
      </w:tr>
      <w:tr w:rsidR="001B5504" w:rsidRPr="005016E4" w14:paraId="6E424069" w14:textId="77777777" w:rsidTr="001B5504">
        <w:trPr>
          <w:jc w:val="center"/>
        </w:trPr>
        <w:tc>
          <w:tcPr>
            <w:tcW w:w="1650" w:type="pct"/>
            <w:vAlign w:val="center"/>
          </w:tcPr>
          <w:p w14:paraId="4CE8DFDE"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Genere (legato all’analisi del corredo)</w:t>
            </w:r>
          </w:p>
        </w:tc>
        <w:tc>
          <w:tcPr>
            <w:tcW w:w="3350" w:type="pct"/>
            <w:vAlign w:val="center"/>
          </w:tcPr>
          <w:p w14:paraId="04E55D8B" w14:textId="15D5D226" w:rsidR="001B5504" w:rsidRPr="005016E4" w:rsidRDefault="001B5504" w:rsidP="00BF212E">
            <w:pPr>
              <w:jc w:val="center"/>
              <w:rPr>
                <w:rFonts w:ascii="Titillium Web" w:hAnsi="Titillium Web"/>
                <w:szCs w:val="24"/>
              </w:rPr>
            </w:pPr>
            <w:r w:rsidRPr="005016E4">
              <w:rPr>
                <w:rFonts w:ascii="Titillium Web" w:hAnsi="Titillium Web"/>
                <w:szCs w:val="24"/>
              </w:rPr>
              <w:t>Non determinabile</w:t>
            </w:r>
          </w:p>
        </w:tc>
      </w:tr>
      <w:tr w:rsidR="001B5504" w:rsidRPr="005016E4" w14:paraId="7C1BF645" w14:textId="77777777" w:rsidTr="001B5504">
        <w:trPr>
          <w:jc w:val="center"/>
        </w:trPr>
        <w:tc>
          <w:tcPr>
            <w:tcW w:w="1650" w:type="pct"/>
            <w:vAlign w:val="center"/>
          </w:tcPr>
          <w:p w14:paraId="7EADEEB5"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Sesso (legato alle analisi antropologiche)</w:t>
            </w:r>
          </w:p>
        </w:tc>
        <w:tc>
          <w:tcPr>
            <w:tcW w:w="3350" w:type="pct"/>
            <w:vAlign w:val="center"/>
          </w:tcPr>
          <w:p w14:paraId="5D17FB99" w14:textId="46EBB367" w:rsidR="001B5504" w:rsidRPr="005016E4" w:rsidRDefault="001B5504" w:rsidP="00BF212E">
            <w:pPr>
              <w:jc w:val="center"/>
              <w:rPr>
                <w:rFonts w:ascii="Titillium Web" w:hAnsi="Titillium Web"/>
                <w:szCs w:val="24"/>
              </w:rPr>
            </w:pPr>
            <w:r w:rsidRPr="005016E4">
              <w:rPr>
                <w:rFonts w:ascii="Titillium Web" w:hAnsi="Titillium Web"/>
                <w:szCs w:val="24"/>
              </w:rPr>
              <w:t>Non determinabile</w:t>
            </w:r>
          </w:p>
        </w:tc>
      </w:tr>
      <w:tr w:rsidR="001B5504" w:rsidRPr="005016E4" w14:paraId="498C4222" w14:textId="77777777" w:rsidTr="001B5504">
        <w:trPr>
          <w:jc w:val="center"/>
        </w:trPr>
        <w:tc>
          <w:tcPr>
            <w:tcW w:w="1650" w:type="pct"/>
            <w:vAlign w:val="center"/>
          </w:tcPr>
          <w:p w14:paraId="57C39F2A"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Classi di età</w:t>
            </w:r>
          </w:p>
        </w:tc>
        <w:tc>
          <w:tcPr>
            <w:tcW w:w="3350" w:type="pct"/>
            <w:vAlign w:val="center"/>
          </w:tcPr>
          <w:p w14:paraId="3FA8CB4E" w14:textId="5B4E47B7" w:rsidR="001B5504" w:rsidRPr="005016E4" w:rsidRDefault="001B5504" w:rsidP="00BF212E">
            <w:pPr>
              <w:jc w:val="center"/>
              <w:rPr>
                <w:rFonts w:ascii="Titillium Web" w:hAnsi="Titillium Web"/>
                <w:szCs w:val="24"/>
              </w:rPr>
            </w:pPr>
            <w:r w:rsidRPr="005016E4">
              <w:rPr>
                <w:rFonts w:ascii="Titillium Web" w:hAnsi="Titillium Web"/>
                <w:szCs w:val="24"/>
              </w:rPr>
              <w:t>Subadulto</w:t>
            </w:r>
          </w:p>
        </w:tc>
      </w:tr>
      <w:tr w:rsidR="001B5504" w:rsidRPr="005016E4" w14:paraId="698056B7" w14:textId="77777777" w:rsidTr="001B5504">
        <w:trPr>
          <w:jc w:val="center"/>
        </w:trPr>
        <w:tc>
          <w:tcPr>
            <w:tcW w:w="1650" w:type="pct"/>
            <w:vAlign w:val="center"/>
          </w:tcPr>
          <w:p w14:paraId="225E12C1"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Cronologia</w:t>
            </w:r>
          </w:p>
        </w:tc>
        <w:tc>
          <w:tcPr>
            <w:tcW w:w="3350" w:type="pct"/>
            <w:vAlign w:val="center"/>
          </w:tcPr>
          <w:p w14:paraId="440AB2F6" w14:textId="65221464" w:rsidR="001B5504" w:rsidRPr="005016E4" w:rsidRDefault="001B5504" w:rsidP="00BF212E">
            <w:pPr>
              <w:jc w:val="center"/>
              <w:rPr>
                <w:rFonts w:ascii="Titillium Web" w:hAnsi="Titillium Web"/>
                <w:szCs w:val="24"/>
              </w:rPr>
            </w:pPr>
            <w:r w:rsidRPr="005016E4">
              <w:rPr>
                <w:rFonts w:ascii="Titillium Web" w:hAnsi="Titillium Web"/>
                <w:szCs w:val="24"/>
              </w:rPr>
              <w:t>275-250 a.C.</w:t>
            </w:r>
          </w:p>
        </w:tc>
      </w:tr>
      <w:tr w:rsidR="001B5504" w:rsidRPr="005016E4" w14:paraId="3105DEE4" w14:textId="77777777" w:rsidTr="001B5504">
        <w:trPr>
          <w:jc w:val="center"/>
        </w:trPr>
        <w:tc>
          <w:tcPr>
            <w:tcW w:w="1650" w:type="pct"/>
            <w:vAlign w:val="center"/>
          </w:tcPr>
          <w:p w14:paraId="2DF8B210"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lastRenderedPageBreak/>
              <w:t>Bibliografia (della tomba)</w:t>
            </w:r>
          </w:p>
        </w:tc>
        <w:tc>
          <w:tcPr>
            <w:tcW w:w="3350" w:type="pct"/>
            <w:vAlign w:val="center"/>
          </w:tcPr>
          <w:p w14:paraId="38D3D101" w14:textId="67752328" w:rsidR="001B5504" w:rsidRPr="005016E4" w:rsidRDefault="001B5504" w:rsidP="00BF212E">
            <w:pPr>
              <w:jc w:val="center"/>
              <w:rPr>
                <w:rFonts w:ascii="Titillium Web" w:hAnsi="Titillium Web"/>
                <w:szCs w:val="24"/>
              </w:rPr>
            </w:pPr>
            <w:r w:rsidRPr="005016E4">
              <w:rPr>
                <w:rFonts w:ascii="Titillium Web" w:hAnsi="Titillium Web"/>
                <w:smallCaps/>
                <w:szCs w:val="24"/>
              </w:rPr>
              <w:t>Serra</w:t>
            </w:r>
            <w:r w:rsidRPr="005016E4">
              <w:rPr>
                <w:rFonts w:ascii="Titillium Web" w:hAnsi="Titillium Web"/>
                <w:szCs w:val="24"/>
              </w:rPr>
              <w:t xml:space="preserve"> 2025, pp. 110, 112, tab. 7, p. 130, tab. 12, p. 246.</w:t>
            </w:r>
          </w:p>
        </w:tc>
      </w:tr>
      <w:tr w:rsidR="001B5504" w:rsidRPr="005016E4" w14:paraId="6887A6E3" w14:textId="77777777" w:rsidTr="001B5504">
        <w:trPr>
          <w:jc w:val="center"/>
        </w:trPr>
        <w:tc>
          <w:tcPr>
            <w:tcW w:w="1650" w:type="pct"/>
            <w:vAlign w:val="center"/>
          </w:tcPr>
          <w:p w14:paraId="4944AE43" w14:textId="77777777" w:rsidR="001B5504" w:rsidRPr="005016E4" w:rsidRDefault="001B5504" w:rsidP="00BF212E">
            <w:pPr>
              <w:jc w:val="center"/>
              <w:rPr>
                <w:rFonts w:ascii="Titillium Web" w:hAnsi="Titillium Web"/>
                <w:smallCaps/>
                <w:szCs w:val="24"/>
              </w:rPr>
            </w:pPr>
            <w:r w:rsidRPr="005016E4">
              <w:rPr>
                <w:rFonts w:ascii="Titillium Web" w:hAnsi="Titillium Web"/>
                <w:smallCaps/>
                <w:szCs w:val="24"/>
              </w:rPr>
              <w:t>Link alla pubblicazione</w:t>
            </w:r>
          </w:p>
        </w:tc>
        <w:tc>
          <w:tcPr>
            <w:tcW w:w="3350" w:type="pct"/>
            <w:vAlign w:val="center"/>
          </w:tcPr>
          <w:p w14:paraId="6ADE2D95" w14:textId="5EBDA977" w:rsidR="001B5504" w:rsidRPr="005016E4"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07B07"/>
    <w:rsid w:val="001B5504"/>
    <w:rsid w:val="001F2833"/>
    <w:rsid w:val="00224DC8"/>
    <w:rsid w:val="0029024B"/>
    <w:rsid w:val="002977D7"/>
    <w:rsid w:val="002F1500"/>
    <w:rsid w:val="003250DD"/>
    <w:rsid w:val="00472AF4"/>
    <w:rsid w:val="005016E4"/>
    <w:rsid w:val="005B5AFF"/>
    <w:rsid w:val="0068458A"/>
    <w:rsid w:val="006F6899"/>
    <w:rsid w:val="00710B38"/>
    <w:rsid w:val="007145BC"/>
    <w:rsid w:val="007A4AE6"/>
    <w:rsid w:val="007D54CD"/>
    <w:rsid w:val="00856769"/>
    <w:rsid w:val="00942E70"/>
    <w:rsid w:val="00943EAC"/>
    <w:rsid w:val="00950348"/>
    <w:rsid w:val="00975CA9"/>
    <w:rsid w:val="00997946"/>
    <w:rsid w:val="009B2C92"/>
    <w:rsid w:val="009E4922"/>
    <w:rsid w:val="00A52A70"/>
    <w:rsid w:val="00A65B85"/>
    <w:rsid w:val="00B165C4"/>
    <w:rsid w:val="00B8338F"/>
    <w:rsid w:val="00B86B2D"/>
    <w:rsid w:val="00BE2CB2"/>
    <w:rsid w:val="00BE63CC"/>
    <w:rsid w:val="00BF212E"/>
    <w:rsid w:val="00C21EE0"/>
    <w:rsid w:val="00C30F5C"/>
    <w:rsid w:val="00C7384F"/>
    <w:rsid w:val="00CC46E5"/>
    <w:rsid w:val="00D54723"/>
    <w:rsid w:val="00DB1668"/>
    <w:rsid w:val="00E0524C"/>
    <w:rsid w:val="00F610A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490</Words>
  <Characters>2796</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21</cp:revision>
  <dcterms:created xsi:type="dcterms:W3CDTF">2026-04-28T14:33:00Z</dcterms:created>
  <dcterms:modified xsi:type="dcterms:W3CDTF">2026-05-16T16:39:00Z</dcterms:modified>
</cp:coreProperties>
</file>