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15E0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15E0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15E0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15E0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15E0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A15E0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15E0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5E0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15E0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56E4B0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Tomba 737 a umazione</w:t>
            </w:r>
          </w:p>
          <w:p w14:paraId="43904380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A m. 28,40 dal B, a m. 7,80 a sud della linea dello scavo, a m. 0,98 di prof.tà giaceva uno scheletro sconvolto a destra del quale si raccolsero i seguenti vasetti:</w:t>
            </w:r>
          </w:p>
          <w:p w14:paraId="107A603E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1 oinochoe di forma ovoidale, a bocca trilobata, a vern. n., intero (è leggermente slabbrato).</w:t>
            </w:r>
          </w:p>
          <w:p w14:paraId="41CADCBA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1 altro piccolo, con figure nere e grafite: due figure di barbati con lancia; dietro loro i cavalli. È leggermente slabbrato.</w:t>
            </w:r>
          </w:p>
          <w:p w14:paraId="1E8299DF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15E0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15E0B">
              <w:rPr>
                <w:rFonts w:ascii="Titillium Web" w:hAnsi="Titillium Web"/>
                <w:i/>
                <w:iCs/>
                <w:szCs w:val="24"/>
              </w:rPr>
              <w:t xml:space="preserve"> scodelline a vern. n., con piede: uno rotto.</w:t>
            </w:r>
          </w:p>
          <w:p w14:paraId="1355D2BC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15E0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A15E0B">
              <w:rPr>
                <w:rFonts w:ascii="Titillium Web" w:hAnsi="Titillium Web"/>
                <w:i/>
                <w:iCs/>
                <w:szCs w:val="24"/>
              </w:rPr>
              <w:t xml:space="preserve"> piatti con piede, di argilla giallastra, grezzi: due interi</w:t>
            </w:r>
          </w:p>
          <w:p w14:paraId="5E823E27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1 idem, marcito, con iscrizione grafita</w:t>
            </w:r>
          </w:p>
          <w:p w14:paraId="45973F6D" w14:textId="77777777" w:rsidR="005450DA" w:rsidRPr="00A15E0B" w:rsidRDefault="00F963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5E0B">
              <w:rPr>
                <w:rFonts w:ascii="Titillium Web" w:hAnsi="Titillium Web"/>
                <w:i/>
                <w:iCs/>
                <w:szCs w:val="24"/>
              </w:rPr>
              <w:t>1 kotylos a vern. n. con due anse ad anello; intero</w:t>
            </w:r>
          </w:p>
        </w:tc>
      </w:tr>
      <w:tr w:rsidR="0086297F" w:rsidRPr="00A15E0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15E0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5E0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5E0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15E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5E0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15E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5E0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690998" w14:textId="77777777" w:rsidR="005450DA" w:rsidRPr="00A15E0B" w:rsidRDefault="00F96309" w:rsidP="00A15E0B">
            <w:pPr>
              <w:jc w:val="center"/>
              <w:rPr>
                <w:rFonts w:ascii="Titillium Web" w:hAnsi="Titillium Web"/>
                <w:szCs w:val="24"/>
              </w:rPr>
            </w:pPr>
            <w:r w:rsidRPr="00A15E0B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A15E0B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A15E0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15E0B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A15E0B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A15E0B">
              <w:rPr>
                <w:rFonts w:ascii="Titillium Web" w:eastAsia="Titillium" w:hAnsi="Titillium Web" w:cs="Titillium"/>
                <w:szCs w:val="24"/>
              </w:rPr>
              <w:t xml:space="preserve"> 2023, p. 401; </w:t>
            </w:r>
            <w:r w:rsidRPr="00A15E0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15E0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450DA"/>
    <w:rsid w:val="00551AF8"/>
    <w:rsid w:val="005B5AFF"/>
    <w:rsid w:val="006162A4"/>
    <w:rsid w:val="006346F7"/>
    <w:rsid w:val="006D6EFB"/>
    <w:rsid w:val="007145BC"/>
    <w:rsid w:val="0086297F"/>
    <w:rsid w:val="009E4922"/>
    <w:rsid w:val="00A15E0B"/>
    <w:rsid w:val="00AB321D"/>
    <w:rsid w:val="00B165C4"/>
    <w:rsid w:val="00C21EE0"/>
    <w:rsid w:val="00D900AB"/>
    <w:rsid w:val="00D936E8"/>
    <w:rsid w:val="00E24633"/>
    <w:rsid w:val="00E4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2026-05-14T17:21:00Z</dcterms:modified>
</cp:coreProperties>
</file>