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55B0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55B0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55B0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55B0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55B0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F55B0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55B0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55B0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55B0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E425F2D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Tomba 738 a umazione -</w:t>
            </w:r>
          </w:p>
          <w:p w14:paraId="2349ED8F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A m. 11,50 dal B, a m. 9,45 a sud della linea dello scavo, a m. 0,95 di prof.tà si rinviene una tomba con scheletro orientato da nord-ovest. a sud-est. gradi 320. Le ossa dello scheletro sono completamente marcite.</w:t>
            </w:r>
          </w:p>
          <w:p w14:paraId="662B40DE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Sulle ossa erano distribuiti i seguenti vasetti:</w:t>
            </w:r>
          </w:p>
          <w:p w14:paraId="24646E26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1 oinochoe a forma ovoidale, a bocca circolare, a vern. nera, intero</w:t>
            </w:r>
          </w:p>
          <w:p w14:paraId="3BE2780E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2 oinochoai configurati a testa femminile: uno leggermente frammentario sull’ansa e l’altro in pezzi.</w:t>
            </w:r>
          </w:p>
          <w:p w14:paraId="7A24792A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1 idria piccola, di argilla gialla, e grezza. È frammentaria</w:t>
            </w:r>
          </w:p>
          <w:p w14:paraId="6449366B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3 lekythoi piccoline, una con disegno di palmette nere, le altre con figure nere di disegno trasandato: una intera e le altre frammentarie.</w:t>
            </w:r>
          </w:p>
          <w:p w14:paraId="67B991F1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1 tazzina kylixoide, fonda, a vern. n., in frammenti</w:t>
            </w:r>
          </w:p>
          <w:p w14:paraId="5520BA0B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55B0A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F55B0A">
              <w:rPr>
                <w:rFonts w:ascii="Titillium Web" w:hAnsi="Titillium Web"/>
                <w:i/>
                <w:iCs/>
                <w:szCs w:val="24"/>
              </w:rPr>
              <w:t xml:space="preserve"> tazzine apode, di argilla giallastra: intere</w:t>
            </w:r>
          </w:p>
          <w:p w14:paraId="638E1C9F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Presso la destra dello scheletro era:</w:t>
            </w:r>
          </w:p>
          <w:p w14:paraId="5DECFDCA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1 frammento informe di bronzo.</w:t>
            </w:r>
          </w:p>
          <w:p w14:paraId="67D11C27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55B0A">
              <w:rPr>
                <w:rFonts w:ascii="Titillium Web" w:hAnsi="Titillium Web"/>
                <w:i/>
                <w:iCs/>
                <w:szCs w:val="24"/>
              </w:rPr>
              <w:t>Presso il collo</w:t>
            </w:r>
          </w:p>
          <w:p w14:paraId="5C31E1FA" w14:textId="77777777" w:rsidR="000B5AFE" w:rsidRPr="00F55B0A" w:rsidRDefault="00C87D8A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55B0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F55B0A">
              <w:rPr>
                <w:rFonts w:ascii="Titillium Web" w:hAnsi="Titillium Web"/>
                <w:i/>
                <w:iCs/>
                <w:szCs w:val="24"/>
              </w:rPr>
              <w:t xml:space="preserve"> grani di vetro con occhietti di pernice.</w:t>
            </w:r>
          </w:p>
        </w:tc>
      </w:tr>
      <w:tr w:rsidR="0086297F" w:rsidRPr="00F55B0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F55B0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F55B0A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F55B0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5B0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55B0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5B0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55B0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5B0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0B71D8C" w14:textId="77777777" w:rsidR="000B5AFE" w:rsidRPr="00F55B0A" w:rsidRDefault="00C87D8A" w:rsidP="00F55B0A">
            <w:pPr>
              <w:jc w:val="center"/>
              <w:rPr>
                <w:rFonts w:ascii="Titillium Web" w:hAnsi="Titillium Web"/>
                <w:szCs w:val="24"/>
              </w:rPr>
            </w:pPr>
            <w:r w:rsidRPr="00F55B0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55B0A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F55B0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55B0A">
              <w:rPr>
                <w:rFonts w:ascii="Titillium Web" w:eastAsia="Titillium" w:hAnsi="Titillium Web" w:cs="Titillium"/>
                <w:szCs w:val="24"/>
              </w:rPr>
              <w:t xml:space="preserve"> 2025, p. 241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B5AFE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B2051"/>
    <w:rsid w:val="00D900AB"/>
    <w:rsid w:val="00D936E8"/>
    <w:rsid w:val="00E24633"/>
    <w:rsid w:val="00F55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2026-05-14T17:20:00Z</dcterms:modified>
</cp:coreProperties>
</file>