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740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B298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B29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298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B29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298E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2B298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B29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298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B29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298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B298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B29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298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B29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298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B298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B29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298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B29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298E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2B298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B29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298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B29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298E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2B298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B29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298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B29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298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B298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B29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298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B29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298E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2B298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B29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298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B29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298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B298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B29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298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F52DA41" w14:textId="77777777" w:rsidR="00361B73" w:rsidRPr="002B298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98E">
              <w:rPr>
                <w:rFonts w:ascii="Titillium Web" w:hAnsi="Titillium Web"/>
                <w:i/>
                <w:iCs/>
                <w:szCs w:val="24"/>
              </w:rPr>
              <w:t>Tomba 740 a umazione (con calce)</w:t>
            </w:r>
          </w:p>
          <w:p w14:paraId="688BCBC6" w14:textId="77777777" w:rsidR="00361B73" w:rsidRPr="002B298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98E">
              <w:rPr>
                <w:rFonts w:ascii="Titillium Web" w:hAnsi="Titillium Web"/>
                <w:i/>
                <w:iCs/>
                <w:szCs w:val="24"/>
              </w:rPr>
              <w:t>fotografia -</w:t>
            </w:r>
          </w:p>
          <w:p w14:paraId="561554CD" w14:textId="77777777" w:rsidR="00361B73" w:rsidRPr="002B298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98E">
              <w:rPr>
                <w:rFonts w:ascii="Titillium Web" w:hAnsi="Titillium Web"/>
                <w:i/>
                <w:iCs/>
                <w:szCs w:val="24"/>
              </w:rPr>
              <w:t>A m. 95 dal B, a m. 57,75 a sud dalla linea di scavo a m. 0,95 di prof.tà giaceva una tomba a umazione. Lo scheletro è orientato da ovest a est (preciso); il cranio dista dal petto circa 50 centimetri.</w:t>
            </w:r>
          </w:p>
          <w:p w14:paraId="0B632F91" w14:textId="77777777" w:rsidR="00361B73" w:rsidRPr="002B298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98E">
              <w:rPr>
                <w:rFonts w:ascii="Titillium Web" w:hAnsi="Titillium Web"/>
                <w:i/>
                <w:iCs/>
                <w:szCs w:val="24"/>
              </w:rPr>
              <w:t>Lo scheletro è rivoltato sul fianco des. e il cumulo dei vasi che sono disposti lungo il fianco des. sembrano essere scivolati presso l’asse della tomba.</w:t>
            </w:r>
          </w:p>
          <w:p w14:paraId="77248126" w14:textId="77777777" w:rsidR="00361B73" w:rsidRPr="002B298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98E">
              <w:rPr>
                <w:rFonts w:ascii="Titillium Web" w:hAnsi="Titillium Web"/>
                <w:i/>
                <w:iCs/>
                <w:szCs w:val="24"/>
              </w:rPr>
              <w:t>Anche in questa tomba evidentemente è successo lo stesso spostamento avvenuto in molte altre, in causa dello sfasciarsi della cassa di legno e conseguente sprofondamento dello scheletro e degli oggetti.</w:t>
            </w:r>
          </w:p>
          <w:p w14:paraId="4E7B86D7" w14:textId="77777777" w:rsidR="00361B73" w:rsidRPr="002B298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98E">
              <w:rPr>
                <w:rFonts w:ascii="Titillium Web" w:hAnsi="Titillium Web"/>
                <w:i/>
                <w:iCs/>
                <w:szCs w:val="24"/>
              </w:rPr>
              <w:t>Alla destra del posto ove avrebbe dovuto trovarsi il cranio, si rinvenne:</w:t>
            </w:r>
          </w:p>
          <w:p w14:paraId="73F0BFA4" w14:textId="77777777" w:rsidR="00361B73" w:rsidRPr="002B298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98E">
              <w:rPr>
                <w:rFonts w:ascii="Titillium Web" w:hAnsi="Titillium Web"/>
                <w:i/>
                <w:iCs/>
                <w:szCs w:val="24"/>
              </w:rPr>
              <w:t>1 borchia di bronzo a testa piatta.</w:t>
            </w:r>
          </w:p>
          <w:p w14:paraId="75F4F91A" w14:textId="77777777" w:rsidR="00361B73" w:rsidRPr="002B298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98E">
              <w:rPr>
                <w:rFonts w:ascii="Titillium Web" w:hAnsi="Titillium Web"/>
                <w:i/>
                <w:iCs/>
                <w:szCs w:val="24"/>
              </w:rPr>
              <w:t>Presso il bacino dello scheletro:</w:t>
            </w:r>
          </w:p>
          <w:p w14:paraId="52054478" w14:textId="77777777" w:rsidR="00361B73" w:rsidRPr="002B298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98E">
              <w:rPr>
                <w:rFonts w:ascii="Titillium Web" w:hAnsi="Titillium Web"/>
                <w:i/>
                <w:iCs/>
                <w:szCs w:val="24"/>
              </w:rPr>
              <w:t>1 frammento rettangolare di piombo.</w:t>
            </w:r>
          </w:p>
          <w:p w14:paraId="2F208A55" w14:textId="77777777" w:rsidR="00361B73" w:rsidRPr="002B298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98E">
              <w:rPr>
                <w:rFonts w:ascii="Titillium Web" w:hAnsi="Titillium Web"/>
                <w:i/>
                <w:iCs/>
                <w:szCs w:val="24"/>
              </w:rPr>
              <w:t>Presso i piedi, a destra dello scheletro:</w:t>
            </w:r>
          </w:p>
          <w:p w14:paraId="0E67B773" w14:textId="77777777" w:rsidR="00361B73" w:rsidRPr="002B298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98E">
              <w:rPr>
                <w:rFonts w:ascii="Titillium Web" w:hAnsi="Titillium Web"/>
                <w:i/>
                <w:iCs/>
                <w:szCs w:val="24"/>
              </w:rPr>
              <w:t>1 manico di cista, di bronzo. Si rinvenne in mezzo ad una delle solite macchie di bronzo decomposto, che denotano essere stato un vaso laminato (cista ?) disfatto completamente.</w:t>
            </w:r>
          </w:p>
          <w:p w14:paraId="3BF55EB7" w14:textId="77777777" w:rsidR="00361B73" w:rsidRPr="002B298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98E">
              <w:rPr>
                <w:rFonts w:ascii="Titillium Web" w:hAnsi="Titillium Web"/>
                <w:i/>
                <w:iCs/>
                <w:szCs w:val="24"/>
              </w:rPr>
              <w:t>Presso il capo, a destra, era:</w:t>
            </w:r>
          </w:p>
          <w:p w14:paraId="4F3F6533" w14:textId="77777777" w:rsidR="00361B73" w:rsidRPr="002B298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98E">
              <w:rPr>
                <w:rFonts w:ascii="Titillium Web" w:hAnsi="Titillium Web"/>
                <w:i/>
                <w:iCs/>
                <w:szCs w:val="24"/>
              </w:rPr>
              <w:t>1 cratere figurato, in frammenti, con anse a volute (vedi fotografia) è rotto in 55 frammenti.</w:t>
            </w:r>
          </w:p>
          <w:p w14:paraId="4E1A43BF" w14:textId="77777777" w:rsidR="00361B73" w:rsidRPr="002B298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98E">
              <w:rPr>
                <w:rFonts w:ascii="Titillium Web" w:hAnsi="Titillium Web"/>
                <w:i/>
                <w:iCs/>
                <w:szCs w:val="24"/>
              </w:rPr>
              <w:lastRenderedPageBreak/>
              <w:t>Il disegno è buonissimo: rappresenta l’armamento di un guerriero: il guerriero è nel centro della scena presso una colonnetta con capitello (tempio?), a des. d una figura di giovane donna con elmo e scudo, e a sin. altra figura femminile alata che regge che regge un’oinochoe ed è in atto di versare entro una phyale che il guerriero regge nella destra.</w:t>
            </w:r>
          </w:p>
          <w:p w14:paraId="60A5D7A4" w14:textId="77777777" w:rsidR="00361B73" w:rsidRPr="002B298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98E">
              <w:rPr>
                <w:rFonts w:ascii="Titillium Web" w:hAnsi="Titillium Web"/>
                <w:i/>
                <w:iCs/>
                <w:szCs w:val="24"/>
              </w:rPr>
              <w:t>Nel rovescio tre figure femminile con scene di libagione.</w:t>
            </w:r>
          </w:p>
          <w:p w14:paraId="554EA5F0" w14:textId="77777777" w:rsidR="00361B73" w:rsidRPr="002B298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98E">
              <w:rPr>
                <w:rFonts w:ascii="Titillium Web" w:hAnsi="Titillium Web"/>
                <w:i/>
                <w:iCs/>
                <w:szCs w:val="24"/>
              </w:rPr>
              <w:t>Presso il fianco destro dello scheletro:</w:t>
            </w:r>
          </w:p>
          <w:p w14:paraId="4540CF97" w14:textId="77777777" w:rsidR="00361B73" w:rsidRPr="002B298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98E">
              <w:rPr>
                <w:rFonts w:ascii="Titillium Web" w:hAnsi="Titillium Web"/>
                <w:i/>
                <w:iCs/>
                <w:szCs w:val="24"/>
              </w:rPr>
              <w:t>2 oinochoai a forma ovoidale, con bocca trilobata, a figure rosse in fondo nero. Uno è leggermente frammentario nei lobi e nella bocca, e rappresenta un satiro corrente verso destra</w:t>
            </w:r>
          </w:p>
          <w:p w14:paraId="6268A0CE" w14:textId="77777777" w:rsidR="00361B73" w:rsidRPr="002B298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98E">
              <w:rPr>
                <w:rFonts w:ascii="Titillium Web" w:hAnsi="Titillium Web"/>
                <w:i/>
                <w:iCs/>
                <w:szCs w:val="24"/>
              </w:rPr>
              <w:t>La vernice ha molto sofferto per il salso ed il disegno è trasandato.</w:t>
            </w:r>
          </w:p>
          <w:p w14:paraId="62EDED94" w14:textId="77777777" w:rsidR="00361B73" w:rsidRPr="002B298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98E">
              <w:rPr>
                <w:rFonts w:ascii="Titillium Web" w:hAnsi="Titillium Web"/>
                <w:i/>
                <w:iCs/>
                <w:szCs w:val="24"/>
              </w:rPr>
              <w:t>L’altro oinochoe, esso pure figurato, è in minuti frammenti.</w:t>
            </w:r>
          </w:p>
          <w:p w14:paraId="5CC03270" w14:textId="77777777" w:rsidR="00361B73" w:rsidRPr="002B298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98E">
              <w:rPr>
                <w:rFonts w:ascii="Titillium Web" w:hAnsi="Titillium Web"/>
                <w:i/>
                <w:iCs/>
                <w:szCs w:val="24"/>
              </w:rPr>
              <w:t>1 kylix in frammenti, di disegno trasandato e di vernice cattivissima poiché si è staccata quasi da per tutto: è una cosa bruttissima.</w:t>
            </w:r>
          </w:p>
          <w:p w14:paraId="545BCD33" w14:textId="77777777" w:rsidR="00361B73" w:rsidRPr="002B298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98E">
              <w:rPr>
                <w:rFonts w:ascii="Titillium Web" w:hAnsi="Titillium Web"/>
                <w:i/>
                <w:iCs/>
                <w:szCs w:val="24"/>
              </w:rPr>
              <w:t>1 kotylos troncoconico in frammenti, con disegni di civetta o di foglie di alloro.</w:t>
            </w:r>
          </w:p>
          <w:p w14:paraId="60DC078D" w14:textId="77777777" w:rsidR="00361B73" w:rsidRPr="002B298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98E">
              <w:rPr>
                <w:rFonts w:ascii="Titillium Web" w:hAnsi="Titillium Web"/>
                <w:i/>
                <w:iCs/>
                <w:szCs w:val="24"/>
              </w:rPr>
              <w:t>6 tazze apode, a vern. n. liscie, con disegno nel fondello, a macchia, di anfore puntute. Sono</w:t>
            </w:r>
          </w:p>
          <w:p w14:paraId="741A86E2" w14:textId="77777777" w:rsidR="00361B73" w:rsidRPr="002B298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98E">
              <w:rPr>
                <w:rFonts w:ascii="Titillium Web" w:hAnsi="Titillium Web"/>
                <w:i/>
                <w:iCs/>
                <w:szCs w:val="24"/>
              </w:rPr>
              <w:t>tutte frammentarie.</w:t>
            </w:r>
          </w:p>
          <w:p w14:paraId="38B58410" w14:textId="77777777" w:rsidR="00361B73" w:rsidRPr="002B298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98E">
              <w:rPr>
                <w:rFonts w:ascii="Titillium Web" w:hAnsi="Titillium Web"/>
                <w:i/>
                <w:iCs/>
                <w:szCs w:val="24"/>
              </w:rPr>
              <w:t>1 scodellino con pieduccio, a ver. n., intero.</w:t>
            </w:r>
          </w:p>
          <w:p w14:paraId="26982C4F" w14:textId="77777777" w:rsidR="00361B73" w:rsidRPr="002B298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98E">
              <w:rPr>
                <w:rFonts w:ascii="Titillium Web" w:hAnsi="Titillium Web"/>
                <w:i/>
                <w:iCs/>
                <w:szCs w:val="24"/>
              </w:rPr>
              <w:t>2 tazzette di argilla giallastra, grezze e apode e intere</w:t>
            </w:r>
          </w:p>
          <w:p w14:paraId="36E8AC04" w14:textId="77777777" w:rsidR="00361B73" w:rsidRPr="002B298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98E">
              <w:rPr>
                <w:rFonts w:ascii="Titillium Web" w:hAnsi="Titillium Web"/>
                <w:i/>
                <w:iCs/>
                <w:szCs w:val="24"/>
              </w:rPr>
              <w:t>2 piatti comuni, con piede alto, di argilla giallastra, grezzi (uno ha il piede staccato).</w:t>
            </w:r>
          </w:p>
          <w:p w14:paraId="171BDCB6" w14:textId="77777777" w:rsidR="00361B73" w:rsidRPr="002B298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298E">
              <w:rPr>
                <w:rFonts w:ascii="Titillium Web" w:hAnsi="Titillium Web"/>
                <w:i/>
                <w:iCs/>
                <w:szCs w:val="24"/>
              </w:rPr>
              <w:t>2 piattelli apodi di argilla idem, grezzi, interi.</w:t>
            </w:r>
          </w:p>
        </w:tc>
      </w:tr>
      <w:tr w:rsidR="0086297F" w:rsidRPr="002B298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B29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298E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B29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298E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2B298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B29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298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B29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298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B298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B29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298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B29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298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B298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B29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298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B29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298E">
              <w:rPr>
                <w:rFonts w:ascii="Titillium Web" w:hAnsi="Titillium Web"/>
                <w:szCs w:val="24"/>
              </w:rPr>
              <w:t>Adulto ?</w:t>
            </w:r>
          </w:p>
        </w:tc>
      </w:tr>
      <w:tr w:rsidR="0086297F" w:rsidRPr="002B298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B29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298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2EF01FE" w14:textId="77777777" w:rsidR="00361B73" w:rsidRPr="002B298E" w:rsidRDefault="00000000" w:rsidP="002B298E">
            <w:pPr>
              <w:jc w:val="center"/>
              <w:rPr>
                <w:rFonts w:ascii="Titillium Web" w:hAnsi="Titillium Web"/>
                <w:szCs w:val="24"/>
              </w:rPr>
            </w:pPr>
            <w:r w:rsidRPr="002B298E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2B298E">
              <w:rPr>
                <w:rFonts w:ascii="Titillium Web" w:eastAsia="Titillium" w:hAnsi="Titillium Web" w:cs="Titillium"/>
                <w:szCs w:val="24"/>
              </w:rPr>
              <w:t xml:space="preserve"> 1965, pp. 9-11, tavv. 5-9; </w:t>
            </w:r>
            <w:r w:rsidRPr="002B298E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2B298E">
              <w:rPr>
                <w:rFonts w:ascii="Titillium Web" w:eastAsia="Titillium" w:hAnsi="Titillium Web" w:cs="Titillium"/>
                <w:szCs w:val="24"/>
              </w:rPr>
              <w:t xml:space="preserve"> 1983, p. 86; </w:t>
            </w:r>
            <w:r w:rsidRPr="002B298E">
              <w:rPr>
                <w:rFonts w:ascii="Titillium Web" w:eastAsia="Titillium" w:hAnsi="Titillium Web" w:cs="Titillium"/>
                <w:smallCaps/>
                <w:szCs w:val="24"/>
              </w:rPr>
              <w:t>Hostetter</w:t>
            </w:r>
            <w:r w:rsidRPr="002B298E">
              <w:rPr>
                <w:rFonts w:ascii="Titillium Web" w:eastAsia="Titillium" w:hAnsi="Titillium Web" w:cs="Titillium"/>
                <w:szCs w:val="24"/>
              </w:rPr>
              <w:t xml:space="preserve"> 2001, pp. 110-111, n. 268, fig. 184; </w:t>
            </w:r>
            <w:r w:rsidRPr="002B298E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2B298E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E4E5A"/>
    <w:rsid w:val="001C17CC"/>
    <w:rsid w:val="002977D7"/>
    <w:rsid w:val="002B298E"/>
    <w:rsid w:val="00361B73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2026-05-14T17:18:00Z</dcterms:modified>
</cp:coreProperties>
</file>