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D64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D64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D64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D64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D64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8D64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D64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D64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D64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493194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Tomba 741 umata - cassa di legno?</w:t>
            </w:r>
          </w:p>
          <w:p w14:paraId="20FFD9DA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A m 160 dal B, a m 14 a nord del canalino nord del dosso C, a m 1,15 di profondità si rinviene una tomba a umazione con scheletro scomposto, ma che lascia vedere l’orientamento da nord-ovest a sud- est: parte dei vasi poggiano sul fianco destro dello scheletro.</w:t>
            </w:r>
          </w:p>
          <w:p w14:paraId="125546EE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Presso la mano sinistra si rinvennero:</w:t>
            </w:r>
          </w:p>
          <w:p w14:paraId="6C8EDDEB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D64C0">
              <w:rPr>
                <w:rFonts w:ascii="Titillium Web" w:hAnsi="Titillium Web"/>
                <w:i/>
                <w:iCs/>
                <w:szCs w:val="24"/>
              </w:rPr>
              <w:t xml:space="preserve"> balsamari in cotto, tipo alabastron con disegni di linee incrociantesi e fasce nere.</w:t>
            </w:r>
          </w:p>
          <w:p w14:paraId="3FE468D2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Sono entrambi frammentati nella bocca.</w:t>
            </w:r>
          </w:p>
          <w:p w14:paraId="38962239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Presso il collo si rinvennero:</w:t>
            </w:r>
          </w:p>
          <w:p w14:paraId="72ABA7B1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ambra a forma di pendaglio</w:t>
            </w:r>
          </w:p>
          <w:p w14:paraId="3E4D19FA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8D64C0">
              <w:rPr>
                <w:rFonts w:ascii="Titillium Web" w:hAnsi="Titillium Web"/>
                <w:i/>
                <w:iCs/>
                <w:szCs w:val="24"/>
              </w:rPr>
              <w:t xml:space="preserve"> perle di vetro con occhietti</w:t>
            </w:r>
          </w:p>
          <w:p w14:paraId="2EEA5C38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D64C0">
              <w:rPr>
                <w:rFonts w:ascii="Titillium Web" w:hAnsi="Titillium Web"/>
                <w:i/>
                <w:iCs/>
                <w:szCs w:val="24"/>
              </w:rPr>
              <w:t xml:space="preserve"> frammentini di piombo, a forma di pendaglio con foro pervio (uno è leggermente scheggiato)</w:t>
            </w:r>
          </w:p>
          <w:p w14:paraId="6FE0A65C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Nella destra fra le falangi:</w:t>
            </w:r>
          </w:p>
          <w:p w14:paraId="185B0558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frammento informe di bronzo, (aes-rude?) e</w:t>
            </w:r>
          </w:p>
          <w:p w14:paraId="76E8C66D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fusarola di alabastro</w:t>
            </w:r>
          </w:p>
          <w:p w14:paraId="5B112C0C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Lungo il fianco dello scheletro si rinvennero:</w:t>
            </w:r>
          </w:p>
          <w:p w14:paraId="3CD3AA4B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2 oinochoai a forma ovoidale, a bocca trilobata, con figure rosse di disegno trasandato: sono interi meno uno leggermente slabbrato</w:t>
            </w:r>
          </w:p>
          <w:p w14:paraId="1F38C23C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kylix a figure rosse, in frammenti: è figurata anche nel rovescio. I frammenti vi sono tutti meno una scheggia che forse sarà marcita o disfatta.</w:t>
            </w:r>
          </w:p>
          <w:p w14:paraId="5F803A1B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lastRenderedPageBreak/>
              <w:t>2 kotylai troncoconici con figure e palmette, di disegno trasandato e inabile: entrambi in frammenti</w:t>
            </w:r>
          </w:p>
          <w:p w14:paraId="5542147E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D64C0">
              <w:rPr>
                <w:rFonts w:ascii="Titillium Web" w:hAnsi="Titillium Web"/>
                <w:i/>
                <w:iCs/>
                <w:szCs w:val="24"/>
              </w:rPr>
              <w:t xml:space="preserve"> piccoli aryballoi di forma ovoidale, con palmetta disegnata sul ventre: entrambi frammentari nel collo e nell’ansa.</w:t>
            </w:r>
          </w:p>
          <w:p w14:paraId="63191B2F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D64C0">
              <w:rPr>
                <w:rFonts w:ascii="Titillium Web" w:hAnsi="Titillium Web"/>
                <w:i/>
                <w:iCs/>
                <w:szCs w:val="24"/>
              </w:rPr>
              <w:t xml:space="preserve"> tazze apode, a </w:t>
            </w:r>
            <w:proofErr w:type="spellStart"/>
            <w:r w:rsidRPr="008D64C0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8D64C0">
              <w:rPr>
                <w:rFonts w:ascii="Titillium Web" w:hAnsi="Titillium Web"/>
                <w:i/>
                <w:iCs/>
                <w:szCs w:val="24"/>
              </w:rPr>
              <w:t>. n., con impressioni di palmette, una intera e le altre due in frammenti</w:t>
            </w:r>
          </w:p>
          <w:p w14:paraId="5534CC1D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tazzetta idem: in frammenti</w:t>
            </w:r>
          </w:p>
          <w:p w14:paraId="65875FE8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D64C0">
              <w:rPr>
                <w:rFonts w:ascii="Titillium Web" w:hAnsi="Titillium Web"/>
                <w:i/>
                <w:iCs/>
                <w:szCs w:val="24"/>
              </w:rPr>
              <w:t xml:space="preserve"> tazzette, a </w:t>
            </w:r>
            <w:proofErr w:type="spellStart"/>
            <w:r w:rsidRPr="008D64C0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8D64C0">
              <w:rPr>
                <w:rFonts w:ascii="Titillium Web" w:hAnsi="Titillium Web"/>
                <w:i/>
                <w:iCs/>
                <w:szCs w:val="24"/>
              </w:rPr>
              <w:t>. n. lisce: in frammenti</w:t>
            </w:r>
          </w:p>
          <w:p w14:paraId="15772C4A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D64C0">
              <w:rPr>
                <w:rFonts w:ascii="Titillium Web" w:hAnsi="Titillium Web"/>
                <w:i/>
                <w:iCs/>
                <w:szCs w:val="24"/>
              </w:rPr>
              <w:t xml:space="preserve"> scodellini a </w:t>
            </w:r>
            <w:proofErr w:type="spellStart"/>
            <w:r w:rsidRPr="008D64C0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8D64C0">
              <w:rPr>
                <w:rFonts w:ascii="Titillium Web" w:hAnsi="Titillium Web"/>
                <w:i/>
                <w:iCs/>
                <w:szCs w:val="24"/>
              </w:rPr>
              <w:t>. n., con orlo risvoltato in basso, apodi, due interi e uno frammentario</w:t>
            </w:r>
          </w:p>
          <w:p w14:paraId="17EAC0AB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piatto ad alto piede, di argilla comune, grezzo</w:t>
            </w:r>
          </w:p>
          <w:p w14:paraId="23EE12ED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altro idem, apodo</w:t>
            </w:r>
          </w:p>
          <w:p w14:paraId="7F58C76A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Presso la testa era:</w:t>
            </w:r>
          </w:p>
          <w:p w14:paraId="0BE72BFE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1 frammentino di ferro</w:t>
            </w:r>
          </w:p>
          <w:p w14:paraId="3E8F53C4" w14:textId="77777777" w:rsidR="005A6FC3" w:rsidRPr="008D64C0" w:rsidRDefault="007871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64C0">
              <w:rPr>
                <w:rFonts w:ascii="Titillium Web" w:hAnsi="Titillium Web"/>
                <w:i/>
                <w:iCs/>
                <w:szCs w:val="24"/>
              </w:rPr>
              <w:t>Si raccolsero diversi frammenti di ferro e un chiodo intero che dovevano tenere aderenti le tavole della cassa.</w:t>
            </w:r>
          </w:p>
        </w:tc>
      </w:tr>
      <w:tr w:rsidR="0086297F" w:rsidRPr="008D64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7108BEA" w:rsidR="0086297F" w:rsidRPr="008D64C0" w:rsidRDefault="007467B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67B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D64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64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D64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D64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D64C0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8D64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D64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64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8D4B4A" w14:textId="77777777" w:rsidR="005A6FC3" w:rsidRPr="008D64C0" w:rsidRDefault="0078718C" w:rsidP="008D64C0">
            <w:pPr>
              <w:jc w:val="center"/>
              <w:rPr>
                <w:rFonts w:ascii="Titillium Web" w:hAnsi="Titillium Web"/>
                <w:szCs w:val="24"/>
              </w:rPr>
            </w:pPr>
            <w:r w:rsidRPr="008D64C0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8D64C0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8D64C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D64C0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A6FC3"/>
    <w:rsid w:val="005B5AFF"/>
    <w:rsid w:val="006162A4"/>
    <w:rsid w:val="006346F7"/>
    <w:rsid w:val="006D6EFB"/>
    <w:rsid w:val="007145BC"/>
    <w:rsid w:val="007467B0"/>
    <w:rsid w:val="0086297F"/>
    <w:rsid w:val="008D64C0"/>
    <w:rsid w:val="00963168"/>
    <w:rsid w:val="009E4922"/>
    <w:rsid w:val="00AB321D"/>
    <w:rsid w:val="00B165C4"/>
    <w:rsid w:val="00C0681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2026-05-15T10:10:00Z</dcterms:modified>
</cp:coreProperties>
</file>