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76F2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76F2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76F2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76F2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76F2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1,42 m</w:t>
            </w:r>
          </w:p>
        </w:tc>
      </w:tr>
      <w:tr w:rsidR="0086297F" w:rsidRPr="00176F2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76F2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76F2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76F2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059CCD9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20">
              <w:rPr>
                <w:rFonts w:ascii="Titillium Web" w:hAnsi="Titillium Web"/>
                <w:i/>
                <w:iCs/>
                <w:szCs w:val="24"/>
              </w:rPr>
              <w:t>Tomba 765 a umazione -(devastata) con strato di calce e traccie legnose della cassa</w:t>
            </w:r>
          </w:p>
          <w:p w14:paraId="70147BDE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20">
              <w:rPr>
                <w:rFonts w:ascii="Titillium Web" w:hAnsi="Titillium Web"/>
                <w:i/>
                <w:iCs/>
                <w:szCs w:val="24"/>
              </w:rPr>
              <w:t>A m. 20,45 dal B, a m. 23 a sud della linea di scavo, e a m. 1,42 di prof.tà poggia la tomba. Sopra la tomba era la terra rimaneggiata fino al piano ove posava lo scheletro e gli oggetti, anzi fra la terra sconvolta, a circa 0,60 sul piano della tomba si rinvennero molti fram.ti di cratere a campana, a figure rosse e cocci di vasi minori.</w:t>
            </w:r>
          </w:p>
          <w:p w14:paraId="5CE0E816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20">
              <w:rPr>
                <w:rFonts w:ascii="Titillium Web" w:hAnsi="Titillium Web"/>
                <w:i/>
                <w:iCs/>
                <w:szCs w:val="24"/>
              </w:rPr>
              <w:t>Lo scheletro era sconvolto nella parte superiore e dal restante si poté arguire l’orientazione nord-ovest. e sud-est: gradi 340 circa.</w:t>
            </w:r>
          </w:p>
          <w:p w14:paraId="3B347852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20">
              <w:rPr>
                <w:rFonts w:ascii="Titillium Web" w:hAnsi="Titillium Web"/>
                <w:i/>
                <w:iCs/>
                <w:szCs w:val="24"/>
              </w:rPr>
              <w:t>I vasi figurati, in frammenti, (cratere a campana) si rinvennero buttati per ogni dove e parte anche superiormente di m. 0,60 dal piano della tomba.</w:t>
            </w:r>
          </w:p>
          <w:p w14:paraId="66F8C3F1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20">
              <w:rPr>
                <w:rFonts w:ascii="Titillium Web" w:hAnsi="Titillium Web"/>
                <w:i/>
                <w:iCs/>
                <w:szCs w:val="24"/>
              </w:rPr>
              <w:t>Si raccolsero frammenti di</w:t>
            </w:r>
          </w:p>
          <w:p w14:paraId="7081F2CD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76F2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76F20">
              <w:rPr>
                <w:rFonts w:ascii="Titillium Web" w:hAnsi="Titillium Web"/>
                <w:i/>
                <w:iCs/>
                <w:szCs w:val="24"/>
              </w:rPr>
              <w:t xml:space="preserve"> crateri a campana, figurati, di disegno inabile e strapazzato -</w:t>
            </w:r>
          </w:p>
          <w:p w14:paraId="444CA526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20">
              <w:rPr>
                <w:rFonts w:ascii="Titillium Web" w:hAnsi="Titillium Web"/>
                <w:i/>
                <w:iCs/>
                <w:szCs w:val="24"/>
              </w:rPr>
              <w:t>1 lekane a tutta vern. n., senza anse: intatta</w:t>
            </w:r>
          </w:p>
          <w:p w14:paraId="4B687440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20">
              <w:rPr>
                <w:rFonts w:ascii="Titillium Web" w:hAnsi="Titillium Web"/>
                <w:i/>
                <w:iCs/>
                <w:szCs w:val="24"/>
              </w:rPr>
              <w:t>2 skyphoi troncconici, a vern. n., uno intero</w:t>
            </w:r>
          </w:p>
          <w:p w14:paraId="0140A61A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76F2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76F20">
              <w:rPr>
                <w:rFonts w:ascii="Titillium Web" w:hAnsi="Titillium Web"/>
                <w:i/>
                <w:iCs/>
                <w:szCs w:val="24"/>
              </w:rPr>
              <w:t xml:space="preserve"> scodelle apode, a ver. n., con impressioni di palmette: sono intere</w:t>
            </w:r>
          </w:p>
          <w:p w14:paraId="2830E7AC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20">
              <w:rPr>
                <w:rFonts w:ascii="Titillium Web" w:hAnsi="Titillium Web"/>
                <w:i/>
                <w:iCs/>
                <w:szCs w:val="24"/>
              </w:rPr>
              <w:t>1 scodella di argilla cenere, grezza, frammentata</w:t>
            </w:r>
          </w:p>
          <w:p w14:paraId="77347C1C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76F2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176F20">
              <w:rPr>
                <w:rFonts w:ascii="Titillium Web" w:hAnsi="Titillium Web"/>
                <w:i/>
                <w:iCs/>
                <w:szCs w:val="24"/>
              </w:rPr>
              <w:t xml:space="preserve"> piatti di argilla color cenere, grezzi; due con alto piede e uno apodo: interi</w:t>
            </w:r>
          </w:p>
          <w:p w14:paraId="338A4694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76F20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176F20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giallastra: grezzi.</w:t>
            </w:r>
          </w:p>
          <w:p w14:paraId="5AC27C7F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20">
              <w:rPr>
                <w:rFonts w:ascii="Titillium Web" w:hAnsi="Titillium Web"/>
                <w:i/>
                <w:iCs/>
                <w:szCs w:val="24"/>
              </w:rPr>
              <w:t xml:space="preserve">2   idem.    </w:t>
            </w:r>
            <w:proofErr w:type="gramStart"/>
            <w:r w:rsidRPr="00176F20">
              <w:rPr>
                <w:rFonts w:ascii="Titillium Web" w:hAnsi="Titillium Web"/>
                <w:i/>
                <w:iCs/>
                <w:szCs w:val="24"/>
              </w:rPr>
              <w:t xml:space="preserve">“  </w:t>
            </w:r>
            <w:proofErr w:type="gramEnd"/>
            <w:r w:rsidRPr="00176F20">
              <w:rPr>
                <w:rFonts w:ascii="Titillium Web" w:hAnsi="Titillium Web"/>
                <w:i/>
                <w:iCs/>
                <w:szCs w:val="24"/>
              </w:rPr>
              <w:t xml:space="preserve">  di argilla cenerognola -</w:t>
            </w:r>
          </w:p>
          <w:p w14:paraId="722F0114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20">
              <w:rPr>
                <w:rFonts w:ascii="Titillium Web" w:hAnsi="Titillium Web"/>
                <w:i/>
                <w:iCs/>
                <w:szCs w:val="24"/>
              </w:rPr>
              <w:lastRenderedPageBreak/>
              <w:t>diversi frammenti di ferro che sembrarono appartenere a un candelabro</w:t>
            </w:r>
          </w:p>
          <w:p w14:paraId="10496084" w14:textId="77777777" w:rsidR="00BD26A9" w:rsidRPr="00176F20" w:rsidRDefault="006000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76F20">
              <w:rPr>
                <w:rFonts w:ascii="Titillium Web" w:hAnsi="Titillium Web"/>
                <w:i/>
                <w:iCs/>
                <w:szCs w:val="24"/>
              </w:rPr>
              <w:t>Nei piatti si rinvennero ossicine di pollo e gusci di uova.</w:t>
            </w:r>
          </w:p>
        </w:tc>
      </w:tr>
      <w:tr w:rsidR="0086297F" w:rsidRPr="00176F2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176F2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76F2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76F2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76F2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76F2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76F2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76F2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A08725B" w14:textId="77777777" w:rsidR="00BD26A9" w:rsidRPr="00176F20" w:rsidRDefault="006000E2" w:rsidP="00176F20">
            <w:pPr>
              <w:jc w:val="center"/>
              <w:rPr>
                <w:rFonts w:ascii="Titillium Web" w:hAnsi="Titillium Web"/>
                <w:szCs w:val="24"/>
              </w:rPr>
            </w:pPr>
            <w:r w:rsidRPr="00176F20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176F20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76F20"/>
    <w:rsid w:val="001C17CC"/>
    <w:rsid w:val="002977D7"/>
    <w:rsid w:val="003F6AFA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D26A9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2026-05-14T16:58:00Z</dcterms:modified>
</cp:coreProperties>
</file>