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771</w:t>
      </w:r>
    </w:p>
    <w:tbl>
      <w:tblPr>
        <w:tblStyle w:val="Grigliatabella"/>
        <w:tblW w:w="5000" w:type="pct"/>
        <w:jc w:val="center"/>
        <w:tblLook w:val="04A0" w:firstRow="1" w:lastRow="0" w:firstColumn="1" w:lastColumn="0" w:noHBand="0" w:noVBand="1"/>
      </w:tblPr>
      <w:tblGrid>
        <w:gridCol w:w="2990"/>
        <w:gridCol w:w="6070"/>
      </w:tblGrid>
      <w:tr w:rsidR="0086297F" w:rsidRPr="004737BF" w14:paraId="69604347" w14:textId="77777777" w:rsidTr="002665C6">
        <w:trPr>
          <w:jc w:val="center"/>
        </w:trPr>
        <w:tc>
          <w:tcPr>
            <w:tcW w:w="1650" w:type="pct"/>
            <w:vAlign w:val="center"/>
          </w:tcPr>
          <w:p w14:paraId="59258D49"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Anno di rinvenimento</w:t>
            </w:r>
          </w:p>
        </w:tc>
        <w:tc>
          <w:tcPr>
            <w:tcW w:w="3350" w:type="pct"/>
            <w:vAlign w:val="center"/>
          </w:tcPr>
          <w:p w14:paraId="10AA1E7C" w14:textId="59BFE2EE" w:rsidR="0086297F" w:rsidRPr="004737BF" w:rsidRDefault="0086297F" w:rsidP="002665C6">
            <w:pPr>
              <w:jc w:val="center"/>
              <w:rPr>
                <w:rFonts w:ascii="Titillium Web" w:hAnsi="Titillium Web"/>
                <w:szCs w:val="24"/>
              </w:rPr>
            </w:pPr>
            <w:r w:rsidRPr="004737BF">
              <w:rPr>
                <w:rFonts w:ascii="Titillium Web" w:hAnsi="Titillium Web"/>
                <w:szCs w:val="24"/>
              </w:rPr>
              <w:t>1927</w:t>
            </w:r>
          </w:p>
        </w:tc>
      </w:tr>
      <w:tr w:rsidR="0086297F" w:rsidRPr="004737BF" w14:paraId="3B6B9C62" w14:textId="77777777" w:rsidTr="002665C6">
        <w:trPr>
          <w:jc w:val="center"/>
        </w:trPr>
        <w:tc>
          <w:tcPr>
            <w:tcW w:w="1650" w:type="pct"/>
            <w:vAlign w:val="center"/>
          </w:tcPr>
          <w:p w14:paraId="2D01D888"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Stato di conservazione della tomba</w:t>
            </w:r>
          </w:p>
        </w:tc>
        <w:tc>
          <w:tcPr>
            <w:tcW w:w="3350" w:type="pct"/>
            <w:vAlign w:val="center"/>
          </w:tcPr>
          <w:p w14:paraId="3ADC95CD" w14:textId="31719CCD" w:rsidR="0086297F" w:rsidRPr="004737BF" w:rsidRDefault="0086297F" w:rsidP="002665C6">
            <w:pPr>
              <w:jc w:val="center"/>
              <w:rPr>
                <w:rFonts w:ascii="Titillium Web" w:hAnsi="Titillium Web"/>
                <w:szCs w:val="24"/>
              </w:rPr>
            </w:pPr>
            <w:r w:rsidRPr="004737BF">
              <w:rPr>
                <w:rFonts w:ascii="Titillium Web" w:hAnsi="Titillium Web"/>
                <w:szCs w:val="24"/>
              </w:rPr>
              <w:t>Intatta</w:t>
            </w:r>
          </w:p>
        </w:tc>
      </w:tr>
      <w:tr w:rsidR="0086297F" w:rsidRPr="004737BF" w14:paraId="3D165E1E" w14:textId="77777777" w:rsidTr="002665C6">
        <w:trPr>
          <w:jc w:val="center"/>
        </w:trPr>
        <w:tc>
          <w:tcPr>
            <w:tcW w:w="1650" w:type="pct"/>
            <w:vAlign w:val="center"/>
          </w:tcPr>
          <w:p w14:paraId="2A5B3D4F"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Rito di seppellimento</w:t>
            </w:r>
          </w:p>
        </w:tc>
        <w:tc>
          <w:tcPr>
            <w:tcW w:w="3350" w:type="pct"/>
            <w:vAlign w:val="center"/>
          </w:tcPr>
          <w:p w14:paraId="094BD426" w14:textId="6E99443A" w:rsidR="0086297F" w:rsidRPr="004737BF" w:rsidRDefault="0086297F" w:rsidP="002665C6">
            <w:pPr>
              <w:jc w:val="center"/>
              <w:rPr>
                <w:rFonts w:ascii="Titillium Web" w:hAnsi="Titillium Web"/>
                <w:szCs w:val="24"/>
              </w:rPr>
            </w:pPr>
            <w:r w:rsidRPr="004737BF">
              <w:rPr>
                <w:rFonts w:ascii="Titillium Web" w:hAnsi="Titillium Web"/>
                <w:szCs w:val="24"/>
              </w:rPr>
              <w:t>Inumazione</w:t>
            </w:r>
          </w:p>
        </w:tc>
      </w:tr>
      <w:tr w:rsidR="0086297F" w:rsidRPr="004737BF" w14:paraId="44CADBCB" w14:textId="77777777" w:rsidTr="002665C6">
        <w:trPr>
          <w:jc w:val="center"/>
        </w:trPr>
        <w:tc>
          <w:tcPr>
            <w:tcW w:w="1650" w:type="pct"/>
            <w:vAlign w:val="center"/>
          </w:tcPr>
          <w:p w14:paraId="1E25741A"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Struttura tomba</w:t>
            </w:r>
          </w:p>
        </w:tc>
        <w:tc>
          <w:tcPr>
            <w:tcW w:w="3350" w:type="pct"/>
            <w:vAlign w:val="center"/>
          </w:tcPr>
          <w:p w14:paraId="1DE3BCB3" w14:textId="08DB6A85" w:rsidR="0086297F" w:rsidRPr="004737BF" w:rsidRDefault="0086297F" w:rsidP="002665C6">
            <w:pPr>
              <w:jc w:val="center"/>
              <w:rPr>
                <w:rFonts w:ascii="Titillium Web" w:hAnsi="Titillium Web"/>
                <w:szCs w:val="24"/>
              </w:rPr>
            </w:pPr>
            <w:r w:rsidRPr="004737BF">
              <w:rPr>
                <w:rFonts w:ascii="Titillium Web" w:hAnsi="Titillium Web"/>
                <w:szCs w:val="24"/>
              </w:rPr>
              <w:t>fossa semplice, forma non registrata</w:t>
            </w:r>
          </w:p>
        </w:tc>
      </w:tr>
      <w:tr w:rsidR="0086297F" w:rsidRPr="004737BF" w14:paraId="47E1F943" w14:textId="77777777" w:rsidTr="002665C6">
        <w:trPr>
          <w:jc w:val="center"/>
        </w:trPr>
        <w:tc>
          <w:tcPr>
            <w:tcW w:w="1650" w:type="pct"/>
            <w:vAlign w:val="center"/>
          </w:tcPr>
          <w:p w14:paraId="355EE080"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 xml:space="preserve">Profondità dal piano di campagna </w:t>
            </w:r>
          </w:p>
        </w:tc>
        <w:tc>
          <w:tcPr>
            <w:tcW w:w="3350" w:type="pct"/>
            <w:vAlign w:val="center"/>
          </w:tcPr>
          <w:p w14:paraId="13D75B9B" w14:textId="6492371F" w:rsidR="0086297F" w:rsidRPr="004737BF" w:rsidRDefault="0086297F" w:rsidP="002665C6">
            <w:pPr>
              <w:jc w:val="center"/>
              <w:rPr>
                <w:rFonts w:ascii="Titillium Web" w:hAnsi="Titillium Web"/>
                <w:szCs w:val="24"/>
              </w:rPr>
            </w:pPr>
            <w:r w:rsidRPr="004737BF">
              <w:rPr>
                <w:rFonts w:ascii="Titillium Web" w:hAnsi="Titillium Web"/>
                <w:szCs w:val="24"/>
              </w:rPr>
              <w:t>0,98 m</w:t>
            </w:r>
          </w:p>
        </w:tc>
      </w:tr>
      <w:tr w:rsidR="0086297F" w:rsidRPr="004737BF" w14:paraId="75BC79FE" w14:textId="77777777" w:rsidTr="002665C6">
        <w:trPr>
          <w:jc w:val="center"/>
        </w:trPr>
        <w:tc>
          <w:tcPr>
            <w:tcW w:w="1650" w:type="pct"/>
            <w:vAlign w:val="center"/>
          </w:tcPr>
          <w:p w14:paraId="432462C5"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Dimensioni della sepoltura</w:t>
            </w:r>
          </w:p>
        </w:tc>
        <w:tc>
          <w:tcPr>
            <w:tcW w:w="3350" w:type="pct"/>
            <w:vAlign w:val="center"/>
          </w:tcPr>
          <w:p w14:paraId="65EDFAD4" w14:textId="5859930D" w:rsidR="0086297F" w:rsidRPr="004737BF" w:rsidRDefault="0086297F" w:rsidP="002665C6">
            <w:pPr>
              <w:jc w:val="center"/>
              <w:rPr>
                <w:rFonts w:ascii="Titillium Web" w:hAnsi="Titillium Web"/>
                <w:szCs w:val="24"/>
              </w:rPr>
            </w:pPr>
            <w:r w:rsidRPr="004737BF">
              <w:rPr>
                <w:rFonts w:ascii="Titillium Web" w:hAnsi="Titillium Web"/>
                <w:szCs w:val="24"/>
              </w:rPr>
              <w:t>Dimensioni non registrate</w:t>
            </w:r>
          </w:p>
        </w:tc>
      </w:tr>
      <w:tr w:rsidR="0086297F" w:rsidRPr="004737BF" w14:paraId="35E5C09E" w14:textId="77777777" w:rsidTr="002665C6">
        <w:trPr>
          <w:jc w:val="center"/>
        </w:trPr>
        <w:tc>
          <w:tcPr>
            <w:tcW w:w="1650" w:type="pct"/>
            <w:vAlign w:val="center"/>
          </w:tcPr>
          <w:p w14:paraId="5AA10374"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Orientamento dello scheletro</w:t>
            </w:r>
          </w:p>
        </w:tc>
        <w:tc>
          <w:tcPr>
            <w:tcW w:w="3350" w:type="pct"/>
            <w:vAlign w:val="center"/>
          </w:tcPr>
          <w:p w14:paraId="6E0E4E7B" w14:textId="7F6B3E0C" w:rsidR="0086297F" w:rsidRPr="004737BF" w:rsidRDefault="0086297F" w:rsidP="002665C6">
            <w:pPr>
              <w:jc w:val="center"/>
              <w:rPr>
                <w:rFonts w:ascii="Titillium Web" w:hAnsi="Titillium Web"/>
                <w:szCs w:val="24"/>
              </w:rPr>
            </w:pPr>
            <w:r w:rsidRPr="004737BF">
              <w:rPr>
                <w:rFonts w:ascii="Titillium Web" w:hAnsi="Titillium Web"/>
                <w:szCs w:val="24"/>
              </w:rPr>
              <w:t>NW-SE</w:t>
            </w:r>
          </w:p>
        </w:tc>
      </w:tr>
      <w:tr w:rsidR="0086297F" w:rsidRPr="004737BF" w14:paraId="71236441" w14:textId="77777777" w:rsidTr="002665C6">
        <w:trPr>
          <w:jc w:val="center"/>
        </w:trPr>
        <w:tc>
          <w:tcPr>
            <w:tcW w:w="1650" w:type="pct"/>
            <w:vAlign w:val="center"/>
          </w:tcPr>
          <w:p w14:paraId="4A1B31A8"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Segnacolo</w:t>
            </w:r>
          </w:p>
        </w:tc>
        <w:tc>
          <w:tcPr>
            <w:tcW w:w="3350" w:type="pct"/>
            <w:vAlign w:val="center"/>
          </w:tcPr>
          <w:p w14:paraId="104CE615" w14:textId="50385AE1" w:rsidR="0086297F" w:rsidRPr="004737BF" w:rsidRDefault="0086297F" w:rsidP="002665C6">
            <w:pPr>
              <w:jc w:val="center"/>
              <w:rPr>
                <w:rFonts w:ascii="Titillium Web" w:hAnsi="Titillium Web"/>
                <w:szCs w:val="24"/>
              </w:rPr>
            </w:pPr>
            <w:r w:rsidRPr="004737BF">
              <w:rPr>
                <w:rFonts w:ascii="Titillium Web" w:hAnsi="Titillium Web"/>
                <w:szCs w:val="24"/>
              </w:rPr>
              <w:t>/</w:t>
            </w:r>
          </w:p>
        </w:tc>
      </w:tr>
      <w:tr w:rsidR="0086297F" w:rsidRPr="004737BF" w14:paraId="6D6CBA71" w14:textId="77777777" w:rsidTr="002665C6">
        <w:trPr>
          <w:jc w:val="center"/>
        </w:trPr>
        <w:tc>
          <w:tcPr>
            <w:tcW w:w="1650" w:type="pct"/>
            <w:vAlign w:val="center"/>
          </w:tcPr>
          <w:p w14:paraId="75CA0D64"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Giornale di scavo</w:t>
            </w:r>
          </w:p>
        </w:tc>
        <w:tc>
          <w:tcPr>
            <w:tcW w:w="3350" w:type="pct"/>
            <w:vAlign w:val="center"/>
          </w:tcPr>
          <w:p w14:paraId="54066E6A" w14:textId="77777777" w:rsidR="00733CEF" w:rsidRPr="004737BF" w:rsidRDefault="00012F7C">
            <w:pPr>
              <w:rPr>
                <w:rFonts w:ascii="Titillium Web" w:hAnsi="Titillium Web"/>
                <w:i/>
                <w:iCs/>
                <w:szCs w:val="24"/>
              </w:rPr>
            </w:pPr>
            <w:r w:rsidRPr="004737BF">
              <w:rPr>
                <w:rFonts w:ascii="Titillium Web" w:hAnsi="Titillium Web"/>
                <w:i/>
                <w:iCs/>
                <w:szCs w:val="24"/>
              </w:rPr>
              <w:t>Tomba 711 a umazione.</w:t>
            </w:r>
          </w:p>
          <w:p w14:paraId="15C6B8A5" w14:textId="77777777" w:rsidR="00733CEF" w:rsidRPr="004737BF" w:rsidRDefault="00012F7C">
            <w:pPr>
              <w:rPr>
                <w:rFonts w:ascii="Titillium Web" w:hAnsi="Titillium Web"/>
                <w:i/>
                <w:iCs/>
                <w:szCs w:val="24"/>
              </w:rPr>
            </w:pPr>
            <w:r w:rsidRPr="004737BF">
              <w:rPr>
                <w:rFonts w:ascii="Titillium Web" w:hAnsi="Titillium Web"/>
                <w:i/>
                <w:iCs/>
                <w:szCs w:val="24"/>
              </w:rPr>
              <w:t>A m. 4,20 a pon. della precedente (le misure sono prese dai due crani), alla profondità di m. 0,98 si rinviene uno scheletro di giovinetto le cui ossa sottilissime sono completamente marcite. Sembra essere orientato (approssimativamente) da nord-ovest a sud-est.</w:t>
            </w:r>
          </w:p>
          <w:p w14:paraId="03A64725" w14:textId="77777777" w:rsidR="00733CEF" w:rsidRPr="004737BF" w:rsidRDefault="00012F7C">
            <w:pPr>
              <w:rPr>
                <w:rFonts w:ascii="Titillium Web" w:hAnsi="Titillium Web"/>
                <w:i/>
                <w:iCs/>
                <w:szCs w:val="24"/>
              </w:rPr>
            </w:pPr>
            <w:r w:rsidRPr="004737BF">
              <w:rPr>
                <w:rFonts w:ascii="Titillium Web" w:hAnsi="Titillium Web"/>
                <w:i/>
                <w:iCs/>
                <w:szCs w:val="24"/>
              </w:rPr>
              <w:t>Sul petto dello scheletro erano i seguenti oggetti:</w:t>
            </w:r>
          </w:p>
          <w:p w14:paraId="1D040892" w14:textId="77777777" w:rsidR="00733CEF" w:rsidRPr="004737BF" w:rsidRDefault="00012F7C">
            <w:pPr>
              <w:rPr>
                <w:rFonts w:ascii="Titillium Web" w:hAnsi="Titillium Web"/>
                <w:i/>
                <w:iCs/>
                <w:szCs w:val="24"/>
              </w:rPr>
            </w:pPr>
            <w:r w:rsidRPr="004737BF">
              <w:rPr>
                <w:rFonts w:ascii="Titillium Web" w:hAnsi="Titillium Web"/>
                <w:i/>
                <w:iCs/>
                <w:szCs w:val="24"/>
              </w:rPr>
              <w:t>1 frammento informe di bronzo.</w:t>
            </w:r>
          </w:p>
          <w:p w14:paraId="3EC9905F" w14:textId="77777777" w:rsidR="00733CEF" w:rsidRPr="004737BF" w:rsidRDefault="00012F7C">
            <w:pPr>
              <w:rPr>
                <w:rFonts w:ascii="Titillium Web" w:hAnsi="Titillium Web"/>
                <w:i/>
                <w:iCs/>
                <w:szCs w:val="24"/>
              </w:rPr>
            </w:pPr>
            <w:r w:rsidRPr="004737BF">
              <w:rPr>
                <w:rFonts w:ascii="Titillium Web" w:hAnsi="Titillium Web"/>
                <w:i/>
                <w:iCs/>
                <w:szCs w:val="24"/>
              </w:rPr>
              <w:t>1 piccolo aryballos a vern. nera, con palmette impresse sulla spalla.</w:t>
            </w:r>
          </w:p>
          <w:p w14:paraId="55B4635A" w14:textId="77777777" w:rsidR="00733CEF" w:rsidRPr="004737BF" w:rsidRDefault="00012F7C">
            <w:pPr>
              <w:rPr>
                <w:rFonts w:ascii="Titillium Web" w:hAnsi="Titillium Web"/>
                <w:i/>
                <w:iCs/>
                <w:szCs w:val="24"/>
              </w:rPr>
            </w:pPr>
            <w:r w:rsidRPr="004737BF">
              <w:rPr>
                <w:rFonts w:ascii="Titillium Web" w:hAnsi="Titillium Web"/>
                <w:i/>
                <w:iCs/>
                <w:szCs w:val="24"/>
              </w:rPr>
              <w:t>1 lucernina discoidale con ansa orizzontale, a vern. nera e con disegni di animali (rosso su f. n.). è molto deteriorata.</w:t>
            </w:r>
          </w:p>
          <w:p w14:paraId="0454618B" w14:textId="77777777" w:rsidR="00733CEF" w:rsidRPr="004737BF" w:rsidRDefault="00012F7C">
            <w:pPr>
              <w:rPr>
                <w:rFonts w:ascii="Titillium Web" w:hAnsi="Titillium Web"/>
                <w:i/>
                <w:iCs/>
                <w:szCs w:val="24"/>
              </w:rPr>
            </w:pPr>
            <w:r w:rsidRPr="004737BF">
              <w:rPr>
                <w:rFonts w:ascii="Titillium Web" w:hAnsi="Titillium Web"/>
                <w:i/>
                <w:iCs/>
                <w:szCs w:val="24"/>
              </w:rPr>
              <w:t>1 tazzetta con piede, di impasto nerastro, marcita e frammentata leggermente nell’orlo.</w:t>
            </w:r>
          </w:p>
          <w:p w14:paraId="342ECFEA" w14:textId="77777777" w:rsidR="00733CEF" w:rsidRPr="004737BF" w:rsidRDefault="00012F7C">
            <w:pPr>
              <w:rPr>
                <w:rFonts w:ascii="Titillium Web" w:hAnsi="Titillium Web"/>
                <w:i/>
                <w:iCs/>
                <w:szCs w:val="24"/>
              </w:rPr>
            </w:pPr>
            <w:proofErr w:type="gramStart"/>
            <w:r w:rsidRPr="004737BF">
              <w:rPr>
                <w:rFonts w:ascii="Titillium Web" w:hAnsi="Titillium Web"/>
                <w:i/>
                <w:iCs/>
                <w:szCs w:val="24"/>
              </w:rPr>
              <w:t>4</w:t>
            </w:r>
            <w:proofErr w:type="gramEnd"/>
            <w:r w:rsidRPr="004737BF">
              <w:rPr>
                <w:rFonts w:ascii="Titillium Web" w:hAnsi="Titillium Web"/>
                <w:i/>
                <w:iCs/>
                <w:szCs w:val="24"/>
              </w:rPr>
              <w:t xml:space="preserve"> tazzette di argilla giallastra, grezze, apode, delle quali tre intere.</w:t>
            </w:r>
          </w:p>
          <w:p w14:paraId="02EB0340" w14:textId="77777777" w:rsidR="00733CEF" w:rsidRPr="004737BF" w:rsidRDefault="00012F7C">
            <w:pPr>
              <w:rPr>
                <w:rFonts w:ascii="Titillium Web" w:hAnsi="Titillium Web"/>
                <w:i/>
                <w:iCs/>
                <w:szCs w:val="24"/>
              </w:rPr>
            </w:pPr>
            <w:r w:rsidRPr="004737BF">
              <w:rPr>
                <w:rFonts w:ascii="Titillium Web" w:hAnsi="Titillium Web"/>
                <w:i/>
                <w:iCs/>
                <w:szCs w:val="24"/>
              </w:rPr>
              <w:t>1 piatto ad alto piede, di argilla giallastra, grezzo e leggermente frammentato nel piede.</w:t>
            </w:r>
          </w:p>
          <w:p w14:paraId="0CE86D6B" w14:textId="77777777" w:rsidR="00733CEF" w:rsidRPr="004737BF" w:rsidRDefault="00012F7C">
            <w:pPr>
              <w:rPr>
                <w:rFonts w:ascii="Titillium Web" w:hAnsi="Titillium Web"/>
                <w:i/>
                <w:iCs/>
                <w:szCs w:val="24"/>
              </w:rPr>
            </w:pPr>
            <w:r w:rsidRPr="004737BF">
              <w:rPr>
                <w:rFonts w:ascii="Titillium Web" w:hAnsi="Titillium Web"/>
                <w:i/>
                <w:iCs/>
                <w:szCs w:val="24"/>
              </w:rPr>
              <w:t>1 piatto idem, apodo.</w:t>
            </w:r>
          </w:p>
          <w:p w14:paraId="4BBA5A12" w14:textId="77777777" w:rsidR="00733CEF" w:rsidRPr="004737BF" w:rsidRDefault="00012F7C">
            <w:pPr>
              <w:rPr>
                <w:rFonts w:ascii="Titillium Web" w:hAnsi="Titillium Web"/>
                <w:i/>
                <w:iCs/>
                <w:szCs w:val="24"/>
              </w:rPr>
            </w:pPr>
            <w:r w:rsidRPr="004737BF">
              <w:rPr>
                <w:rFonts w:ascii="Titillium Web" w:hAnsi="Titillium Web"/>
                <w:i/>
                <w:iCs/>
                <w:szCs w:val="24"/>
              </w:rPr>
              <w:t>Entro ai piatti erano le ossa di pollo e gusci di uova.</w:t>
            </w:r>
          </w:p>
          <w:p w14:paraId="471E37DA" w14:textId="77777777" w:rsidR="00733CEF" w:rsidRPr="004737BF" w:rsidRDefault="00012F7C">
            <w:pPr>
              <w:rPr>
                <w:rFonts w:ascii="Titillium Web" w:hAnsi="Titillium Web"/>
                <w:i/>
                <w:iCs/>
                <w:szCs w:val="24"/>
              </w:rPr>
            </w:pPr>
            <w:r w:rsidRPr="004737BF">
              <w:rPr>
                <w:rFonts w:ascii="Titillium Web" w:hAnsi="Titillium Web"/>
                <w:i/>
                <w:iCs/>
                <w:szCs w:val="24"/>
              </w:rPr>
              <w:t>1 scodellino con piede, a vern. nera, intero.</w:t>
            </w:r>
          </w:p>
        </w:tc>
      </w:tr>
      <w:tr w:rsidR="0086297F" w:rsidRPr="004737BF" w14:paraId="1429C2F3" w14:textId="77777777" w:rsidTr="002665C6">
        <w:trPr>
          <w:jc w:val="center"/>
        </w:trPr>
        <w:tc>
          <w:tcPr>
            <w:tcW w:w="1650" w:type="pct"/>
            <w:vAlign w:val="center"/>
          </w:tcPr>
          <w:p w14:paraId="7F398080"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Posizione del corredo</w:t>
            </w:r>
          </w:p>
        </w:tc>
        <w:tc>
          <w:tcPr>
            <w:tcW w:w="3350" w:type="pct"/>
            <w:vAlign w:val="center"/>
          </w:tcPr>
          <w:p w14:paraId="5C03ADA7" w14:textId="7BF3AD8D" w:rsidR="0086297F" w:rsidRPr="004737BF" w:rsidRDefault="0086297F" w:rsidP="002665C6">
            <w:pPr>
              <w:jc w:val="center"/>
              <w:rPr>
                <w:rFonts w:ascii="Titillium Web" w:hAnsi="Titillium Web"/>
                <w:szCs w:val="24"/>
              </w:rPr>
            </w:pPr>
            <w:r w:rsidRPr="004737BF">
              <w:rPr>
                <w:rFonts w:ascii="Titillium Web" w:hAnsi="Titillium Web"/>
                <w:szCs w:val="24"/>
              </w:rPr>
              <w:t>Sopra il defunto</w:t>
            </w:r>
          </w:p>
        </w:tc>
      </w:tr>
      <w:tr w:rsidR="0086297F" w:rsidRPr="004737BF" w14:paraId="71A0E4AF" w14:textId="77777777" w:rsidTr="002665C6">
        <w:trPr>
          <w:jc w:val="center"/>
        </w:trPr>
        <w:tc>
          <w:tcPr>
            <w:tcW w:w="1650" w:type="pct"/>
            <w:vAlign w:val="center"/>
          </w:tcPr>
          <w:p w14:paraId="2128B19B"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Genere (legato all’analisi del corredo)</w:t>
            </w:r>
          </w:p>
        </w:tc>
        <w:tc>
          <w:tcPr>
            <w:tcW w:w="3350" w:type="pct"/>
            <w:vAlign w:val="center"/>
          </w:tcPr>
          <w:p w14:paraId="31324C2B" w14:textId="4E55E405" w:rsidR="0086297F" w:rsidRPr="004737BF" w:rsidRDefault="0086297F" w:rsidP="002665C6">
            <w:pPr>
              <w:jc w:val="center"/>
              <w:rPr>
                <w:rFonts w:ascii="Titillium Web" w:hAnsi="Titillium Web"/>
                <w:szCs w:val="24"/>
              </w:rPr>
            </w:pPr>
            <w:r w:rsidRPr="004737BF">
              <w:rPr>
                <w:rFonts w:ascii="Titillium Web" w:hAnsi="Titillium Web"/>
                <w:szCs w:val="24"/>
              </w:rPr>
              <w:t>Non determinabile</w:t>
            </w:r>
          </w:p>
        </w:tc>
      </w:tr>
      <w:tr w:rsidR="0086297F" w:rsidRPr="004737BF" w14:paraId="17633947" w14:textId="77777777" w:rsidTr="002665C6">
        <w:trPr>
          <w:jc w:val="center"/>
        </w:trPr>
        <w:tc>
          <w:tcPr>
            <w:tcW w:w="1650" w:type="pct"/>
            <w:vAlign w:val="center"/>
          </w:tcPr>
          <w:p w14:paraId="44721053"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lastRenderedPageBreak/>
              <w:t>Sesso (legato alle analisi antropologiche)</w:t>
            </w:r>
          </w:p>
        </w:tc>
        <w:tc>
          <w:tcPr>
            <w:tcW w:w="3350" w:type="pct"/>
            <w:vAlign w:val="center"/>
          </w:tcPr>
          <w:p w14:paraId="66E918A4" w14:textId="50197FF0" w:rsidR="0086297F" w:rsidRPr="004737BF" w:rsidRDefault="0086297F" w:rsidP="002665C6">
            <w:pPr>
              <w:jc w:val="center"/>
              <w:rPr>
                <w:rFonts w:ascii="Titillium Web" w:hAnsi="Titillium Web"/>
                <w:szCs w:val="24"/>
              </w:rPr>
            </w:pPr>
            <w:r w:rsidRPr="004737BF">
              <w:rPr>
                <w:rFonts w:ascii="Titillium Web" w:hAnsi="Titillium Web"/>
                <w:szCs w:val="24"/>
              </w:rPr>
              <w:t>Non determinabile</w:t>
            </w:r>
          </w:p>
        </w:tc>
      </w:tr>
      <w:tr w:rsidR="0086297F" w:rsidRPr="004737BF" w14:paraId="0588946D" w14:textId="77777777" w:rsidTr="002665C6">
        <w:trPr>
          <w:jc w:val="center"/>
        </w:trPr>
        <w:tc>
          <w:tcPr>
            <w:tcW w:w="1650" w:type="pct"/>
            <w:vAlign w:val="center"/>
          </w:tcPr>
          <w:p w14:paraId="54990945"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Classi di età</w:t>
            </w:r>
          </w:p>
        </w:tc>
        <w:tc>
          <w:tcPr>
            <w:tcW w:w="3350" w:type="pct"/>
            <w:vAlign w:val="center"/>
          </w:tcPr>
          <w:p w14:paraId="0E0589EA" w14:textId="7D4DF825" w:rsidR="0086297F" w:rsidRPr="004737BF" w:rsidRDefault="0086297F" w:rsidP="002665C6">
            <w:pPr>
              <w:jc w:val="center"/>
              <w:rPr>
                <w:rFonts w:ascii="Titillium Web" w:hAnsi="Titillium Web"/>
                <w:szCs w:val="24"/>
              </w:rPr>
            </w:pPr>
            <w:r w:rsidRPr="004737BF">
              <w:rPr>
                <w:rFonts w:ascii="Titillium Web" w:hAnsi="Titillium Web"/>
                <w:szCs w:val="24"/>
              </w:rPr>
              <w:t>Subadulto</w:t>
            </w:r>
          </w:p>
        </w:tc>
      </w:tr>
      <w:tr w:rsidR="0086297F" w:rsidRPr="004737BF" w14:paraId="1FFA88A1" w14:textId="77777777" w:rsidTr="002665C6">
        <w:trPr>
          <w:jc w:val="center"/>
        </w:trPr>
        <w:tc>
          <w:tcPr>
            <w:tcW w:w="1650" w:type="pct"/>
            <w:vAlign w:val="center"/>
          </w:tcPr>
          <w:p w14:paraId="63B2D8D6" w14:textId="77777777" w:rsidR="0086297F" w:rsidRPr="004737BF" w:rsidRDefault="0086297F" w:rsidP="002665C6">
            <w:pPr>
              <w:jc w:val="center"/>
              <w:rPr>
                <w:rFonts w:ascii="Titillium Web" w:hAnsi="Titillium Web"/>
                <w:smallCaps/>
                <w:szCs w:val="24"/>
              </w:rPr>
            </w:pPr>
            <w:r w:rsidRPr="004737BF">
              <w:rPr>
                <w:rFonts w:ascii="Titillium Web" w:hAnsi="Titillium Web"/>
                <w:smallCaps/>
                <w:szCs w:val="24"/>
              </w:rPr>
              <w:t>Bibliografia essenziale</w:t>
            </w:r>
          </w:p>
        </w:tc>
        <w:tc>
          <w:tcPr>
            <w:tcW w:w="3350" w:type="pct"/>
            <w:vAlign w:val="center"/>
          </w:tcPr>
          <w:p w14:paraId="6D517026" w14:textId="77777777" w:rsidR="00733CEF" w:rsidRPr="004737BF" w:rsidRDefault="00012F7C" w:rsidP="004737BF">
            <w:pPr>
              <w:jc w:val="center"/>
              <w:rPr>
                <w:rFonts w:ascii="Titillium Web" w:hAnsi="Titillium Web"/>
                <w:szCs w:val="24"/>
              </w:rPr>
            </w:pPr>
            <w:r w:rsidRPr="004737BF">
              <w:rPr>
                <w:rFonts w:ascii="Titillium Web" w:eastAsia="Titillium" w:hAnsi="Titillium Web" w:cs="Titillium"/>
                <w:smallCaps/>
                <w:szCs w:val="24"/>
              </w:rPr>
              <w:t>Massei</w:t>
            </w:r>
            <w:r w:rsidRPr="004737BF">
              <w:rPr>
                <w:rFonts w:ascii="Titillium Web" w:eastAsia="Titillium" w:hAnsi="Titillium Web" w:cs="Titillium"/>
                <w:szCs w:val="24"/>
              </w:rPr>
              <w:t xml:space="preserve"> 1978, pp. 48-49; </w:t>
            </w:r>
            <w:r w:rsidRPr="004737BF">
              <w:rPr>
                <w:rFonts w:ascii="Titillium Web" w:eastAsia="Titillium" w:hAnsi="Titillium Web" w:cs="Titillium"/>
                <w:smallCaps/>
                <w:szCs w:val="24"/>
              </w:rPr>
              <w:t>Serra</w:t>
            </w:r>
            <w:r w:rsidRPr="004737BF">
              <w:rPr>
                <w:rFonts w:ascii="Titillium Web" w:eastAsia="Titillium" w:hAnsi="Titillium Web" w:cs="Titillium"/>
                <w:szCs w:val="24"/>
              </w:rPr>
              <w:t xml:space="preserve"> 2022; </w:t>
            </w:r>
            <w:r w:rsidRPr="004737BF">
              <w:rPr>
                <w:rFonts w:ascii="Titillium Web" w:eastAsia="Titillium" w:hAnsi="Titillium Web" w:cs="Titillium"/>
                <w:smallCaps/>
                <w:szCs w:val="24"/>
              </w:rPr>
              <w:t>Serra</w:t>
            </w:r>
            <w:r w:rsidRPr="004737BF">
              <w:rPr>
                <w:rFonts w:ascii="Titillium Web" w:eastAsia="Titillium" w:hAnsi="Titillium Web" w:cs="Titillium"/>
                <w:szCs w:val="24"/>
              </w:rPr>
              <w:t xml:space="preserve"> 2025, p. 241</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4737BF"/>
    <w:rsid w:val="00551AF8"/>
    <w:rsid w:val="005B5AFF"/>
    <w:rsid w:val="006162A4"/>
    <w:rsid w:val="006346F7"/>
    <w:rsid w:val="006D6EFB"/>
    <w:rsid w:val="007145BC"/>
    <w:rsid w:val="00733CEF"/>
    <w:rsid w:val="0086297F"/>
    <w:rsid w:val="009E4922"/>
    <w:rsid w:val="00A1617C"/>
    <w:rsid w:val="00AB321D"/>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2026-05-14T16:55:00Z</dcterms:modified>
</cp:coreProperties>
</file>