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536CE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536CE0">
        <w:rPr>
          <w:rFonts w:ascii="Titillium Web" w:hAnsi="Titillium Web"/>
          <w:b/>
          <w:bCs/>
          <w:sz w:val="28"/>
          <w:szCs w:val="24"/>
        </w:rPr>
        <w:t>Valle Trebba – Tomba 779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36CE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36CE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36CE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36CE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36CE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1,56 m</w:t>
            </w:r>
          </w:p>
        </w:tc>
      </w:tr>
      <w:tr w:rsidR="0086297F" w:rsidRPr="00536CE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36CE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36CE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6CE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A8D2D4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Tomba 779 a umazione            fotografie -</w:t>
            </w:r>
          </w:p>
          <w:p w14:paraId="12ACD41B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Con cassa di legno e pareti di travi e fondo e coperchio.</w:t>
            </w:r>
          </w:p>
          <w:p w14:paraId="0B51BA8F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A m. 76 dal B, con l’angolo sinistro della cassa che tocca la linea ovest-est (a 121 m. dal D.B.) e a m. 1,56 di prof.tà poggiava una tomba a cassa, con pareti di tronchi di legno. La tomba oltre alle pareti ha il fondo ed il coperchio.</w:t>
            </w:r>
          </w:p>
          <w:p w14:paraId="596EB842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La cassa (i lati lunghi) sono orientati da nord-ovest a sud-est: gradi 340.</w:t>
            </w:r>
          </w:p>
          <w:p w14:paraId="079F95EF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Sopra gli oggetti e sullo scheletro erano molti frammenti del legno del coperchio (vedi fotografia)</w:t>
            </w:r>
          </w:p>
          <w:p w14:paraId="10479472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Lo scheletro era tutto sconvolto (evidentemente la tomba fu saccheggiata).</w:t>
            </w:r>
          </w:p>
          <w:p w14:paraId="251689BF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Nell’angolo nord-ovest della tomba era un gruppo di grossi vasi:</w:t>
            </w:r>
          </w:p>
          <w:p w14:paraId="6CAF1DEE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grandi anfore vinarie, pontute e grezze: una di argilla rossastra, l’altra di argilla giallo-chiara; intere</w:t>
            </w:r>
          </w:p>
          <w:p w14:paraId="151C207C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Frammezzo alle anfore erano:</w:t>
            </w:r>
          </w:p>
          <w:p w14:paraId="7316F39C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crateri a campana di argilla giallognola, di fabbrica apula, con disegni di testoni radiati e palmette con tinta bruno nerastra: uno è intero e l’altro e frammentario</w:t>
            </w:r>
          </w:p>
          <w:p w14:paraId="528C9B36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Presso la parete di ponente (della cassa) e in mezzo alla tomba</w:t>
            </w:r>
          </w:p>
          <w:p w14:paraId="772B440D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2 oinochoai di argilla giallastra, a forma di fiasca con bocca trilobata e disegni di testoni e palmette a tinta bruno scura: sono interi</w:t>
            </w:r>
          </w:p>
          <w:p w14:paraId="51DE93F8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1 grande kotylos di argilla giallo chiara, di forma a imbuto, con traccie di vernice scuro bruno: in fram.ti</w:t>
            </w:r>
          </w:p>
          <w:p w14:paraId="62DF64A3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lastRenderedPageBreak/>
              <w:t>Nel centro della tomba era:</w:t>
            </w:r>
          </w:p>
          <w:p w14:paraId="2F24AF5C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1 lekane a vern. bruna scadente: la tazza è intera ed il coperchio in pezzi -</w:t>
            </w:r>
          </w:p>
          <w:p w14:paraId="2D6836B6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1 lucernina discoidale con ansa e beccuccio rotti, si rinvenne presso l’angolo nord-est della tomba.</w:t>
            </w:r>
          </w:p>
          <w:p w14:paraId="1207B93D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1 vasettino sferoidale di argilla color cenere scuro e con ansa ad anello nello sviluppo del ventre, presso il mezzo della parete di levante della cassa.</w:t>
            </w:r>
          </w:p>
          <w:p w14:paraId="4D5A19D3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Nell’angolo sud-est erano:</w:t>
            </w:r>
          </w:p>
          <w:p w14:paraId="149D8421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balsamari fittili, tipo alabastron, grezzi. Uno è chiuso presso la bocca da un bastoncello? che è entrato o che fu messo appositamente? e che forse dovrebbe essere uno stilo di avorio, per intingere nel colore e dipingere le ciglia? Sono interi.</w:t>
            </w:r>
          </w:p>
          <w:p w14:paraId="79E29C9C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Diversi frammenti informi di ferro si rinvennero fra le anfore.</w:t>
            </w:r>
          </w:p>
          <w:p w14:paraId="059EF679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scodelle apode, a vern. n. scadente, con palmette a impressione, si raccolsero sparse sotto alle ossa dello scheletro (una frammentata).</w:t>
            </w:r>
          </w:p>
          <w:p w14:paraId="3E6245B7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patere o piattelli ombellicati, in frammenti, a ver. n. scadente, sotto le ossa umane.</w:t>
            </w:r>
          </w:p>
          <w:p w14:paraId="5B195B70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1 scodella di argilla giallastra, con impressioni di palmette e vern. bruna, presso il lato ovest della cassa: intera</w:t>
            </w:r>
          </w:p>
          <w:p w14:paraId="76D5CF58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 piattelli con peduccio, grezzi, comuni, presso la parete sud della cassa, frammisti a pezzi di legno del coperchio.</w:t>
            </w:r>
          </w:p>
          <w:p w14:paraId="0380663F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I travi lunghi della cassa conservano l’incavo dell’incastro per i travi corti.</w:t>
            </w:r>
          </w:p>
          <w:p w14:paraId="6FDF3B5A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>I travi lunghi erano posti in taglio ed hanno uno spessore di m. 0,11 per 0,40 di altezza (bagnati)</w:t>
            </w:r>
          </w:p>
          <w:p w14:paraId="61F4DBF0" w14:textId="77777777" w:rsidR="0028010E" w:rsidRPr="00536CE0" w:rsidRDefault="00CD5C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CE0">
              <w:rPr>
                <w:rFonts w:ascii="Titillium Web" w:hAnsi="Titillium Web"/>
                <w:i/>
                <w:iCs/>
                <w:szCs w:val="24"/>
              </w:rPr>
              <w:t xml:space="preserve">I travi corti </w:t>
            </w:r>
            <w:proofErr w:type="gramStart"/>
            <w:r w:rsidRPr="00536CE0">
              <w:rPr>
                <w:rFonts w:ascii="Titillium Web" w:hAnsi="Titillium Web"/>
                <w:i/>
                <w:iCs/>
                <w:szCs w:val="24"/>
              </w:rPr>
              <w:t>sono molto marciti e frammentati</w:t>
            </w:r>
            <w:proofErr w:type="gramEnd"/>
            <w:r w:rsidRPr="00536CE0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</w:tc>
      </w:tr>
      <w:tr w:rsidR="0086297F" w:rsidRPr="00536CE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36CE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6CE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C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6CE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36C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36CE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36CE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36C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CE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A663ED" w14:textId="69EF0DB6" w:rsidR="0028010E" w:rsidRPr="00536CE0" w:rsidRDefault="00B9462D" w:rsidP="00552A4C">
            <w:pPr>
              <w:jc w:val="center"/>
              <w:rPr>
                <w:rFonts w:ascii="Titillium Web" w:hAnsi="Titillium Web"/>
                <w:szCs w:val="24"/>
              </w:rPr>
            </w:pPr>
            <w:r w:rsidRPr="00B9462D">
              <w:rPr>
                <w:rFonts w:ascii="Titillium Web" w:eastAsia="Titillium" w:hAnsi="Titillium Web" w:cs="Titillium"/>
                <w:i/>
                <w:iCs/>
                <w:szCs w:val="24"/>
              </w:rPr>
              <w:t>Mostra</w:t>
            </w:r>
            <w:r w:rsidRPr="00536CE0">
              <w:rPr>
                <w:rFonts w:ascii="Titillium Web" w:eastAsia="Titillium" w:hAnsi="Titillium Web" w:cs="Titillium"/>
                <w:szCs w:val="24"/>
              </w:rPr>
              <w:t xml:space="preserve"> 1960</w:t>
            </w:r>
            <w:r w:rsidR="0019151C">
              <w:rPr>
                <w:rFonts w:ascii="Titillium Web" w:eastAsia="Titillium" w:hAnsi="Titillium Web" w:cs="Titillium"/>
                <w:szCs w:val="24"/>
              </w:rPr>
              <w:t>,</w:t>
            </w:r>
            <w:r w:rsidRPr="00536CE0">
              <w:rPr>
                <w:rFonts w:ascii="Titillium Web" w:eastAsia="Titillium" w:hAnsi="Titillium Web" w:cs="Titillium"/>
                <w:szCs w:val="24"/>
              </w:rPr>
              <w:t xml:space="preserve"> pp. 311-316;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552A4C" w:rsidRPr="00B9462D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="00552A4C" w:rsidRPr="00536CE0">
              <w:rPr>
                <w:rFonts w:ascii="Titillium Web" w:eastAsia="Titillium" w:hAnsi="Titillium Web" w:cs="Titillium"/>
                <w:szCs w:val="24"/>
              </w:rPr>
              <w:t xml:space="preserve"> 1978, pp. 49-51, n. 33;</w:t>
            </w:r>
            <w:r w:rsidR="00552A4C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CD5C41" w:rsidRPr="00536CE0">
              <w:rPr>
                <w:rFonts w:ascii="Titillium Web" w:eastAsia="Titillium" w:hAnsi="Titillium Web" w:cs="Titillium"/>
                <w:smallCaps/>
                <w:szCs w:val="24"/>
              </w:rPr>
              <w:t>Alfieri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1979</w:t>
            </w:r>
            <w:r w:rsidR="0019151C">
              <w:rPr>
                <w:rFonts w:ascii="Titillium Web" w:eastAsia="Titillium" w:hAnsi="Titillium Web" w:cs="Titillium"/>
                <w:szCs w:val="24"/>
              </w:rPr>
              <w:t>,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p. XXXVII; </w:t>
            </w:r>
            <w:r w:rsidR="00CD5C41" w:rsidRPr="00B9462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1983</w:t>
            </w:r>
            <w:r w:rsidR="0019151C">
              <w:rPr>
                <w:rFonts w:ascii="Titillium Web" w:eastAsia="Titillium" w:hAnsi="Titillium Web" w:cs="Titillium"/>
                <w:szCs w:val="24"/>
              </w:rPr>
              <w:t>,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p. 60</w:t>
            </w:r>
            <w:r w:rsidR="0019151C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figg. 27-28; </w:t>
            </w:r>
            <w:r w:rsidR="00CD5C41" w:rsidRPr="00B9462D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1993b</w:t>
            </w:r>
            <w:r w:rsidR="00EB2896">
              <w:rPr>
                <w:rFonts w:ascii="Titillium Web" w:eastAsia="Titillium" w:hAnsi="Titillium Web" w:cs="Titillium"/>
                <w:szCs w:val="24"/>
              </w:rPr>
              <w:t>,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pp. 313-315, nn. 581-608; </w:t>
            </w:r>
            <w:r w:rsidR="00552A4C" w:rsidRPr="00B9462D">
              <w:rPr>
                <w:rFonts w:ascii="Titillium Web" w:eastAsia="Titillium" w:hAnsi="Titillium Web" w:cs="Titillium"/>
                <w:i/>
                <w:iCs/>
                <w:szCs w:val="24"/>
              </w:rPr>
              <w:t xml:space="preserve">Classico </w:t>
            </w:r>
            <w:r w:rsidR="00552A4C" w:rsidRPr="00B9462D">
              <w:rPr>
                <w:rFonts w:ascii="Titillium Web" w:eastAsia="Titillium" w:hAnsi="Titillium Web" w:cs="Titillium"/>
                <w:i/>
                <w:iCs/>
                <w:szCs w:val="24"/>
              </w:rPr>
              <w:lastRenderedPageBreak/>
              <w:t>Anticlassico</w:t>
            </w:r>
            <w:r w:rsidR="00552A4C" w:rsidRPr="00536CE0">
              <w:rPr>
                <w:rFonts w:ascii="Titillium Web" w:eastAsia="Titillium" w:hAnsi="Titillium Web" w:cs="Titillium"/>
                <w:szCs w:val="24"/>
              </w:rPr>
              <w:t xml:space="preserve"> 1996</w:t>
            </w:r>
            <w:r w:rsidR="0019151C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="00552A4C" w:rsidRPr="00536CE0">
              <w:rPr>
                <w:rFonts w:ascii="Titillium Web" w:eastAsia="Titillium" w:hAnsi="Titillium Web" w:cs="Titillium"/>
                <w:szCs w:val="24"/>
              </w:rPr>
              <w:t xml:space="preserve">pp. 105-106; </w:t>
            </w:r>
            <w:r w:rsidR="00CD5C41" w:rsidRPr="00B9462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2011</w:t>
            </w:r>
            <w:r w:rsidR="00F1534A">
              <w:rPr>
                <w:rFonts w:ascii="Titillium Web" w:eastAsia="Titillium" w:hAnsi="Titillium Web" w:cs="Titillium"/>
                <w:szCs w:val="24"/>
              </w:rPr>
              <w:t>;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CD5C41" w:rsidRPr="00B9462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CD5C41" w:rsidRPr="00B9462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2023</w:t>
            </w:r>
            <w:r w:rsidR="00F1534A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>p. 379</w:t>
            </w:r>
            <w:r w:rsidR="00EB2896">
              <w:rPr>
                <w:rFonts w:ascii="Titillium Web" w:eastAsia="Titillium" w:hAnsi="Titillium Web" w:cs="Titillium"/>
                <w:szCs w:val="24"/>
              </w:rPr>
              <w:t>,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n. 239; </w:t>
            </w:r>
            <w:r w:rsidR="00CD5C41" w:rsidRPr="00B9462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CD5C41" w:rsidRPr="00536CE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536CE0" w:rsidRDefault="00472AF4" w:rsidP="0086297F">
      <w:pPr>
        <w:rPr>
          <w:rFonts w:ascii="Titillium Web" w:hAnsi="Titillium Web"/>
        </w:rPr>
      </w:pPr>
    </w:p>
    <w:sectPr w:rsidR="00472AF4" w:rsidRPr="00536CE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9151C"/>
    <w:rsid w:val="001C17CC"/>
    <w:rsid w:val="0028010E"/>
    <w:rsid w:val="002977D7"/>
    <w:rsid w:val="004338D7"/>
    <w:rsid w:val="00472AF4"/>
    <w:rsid w:val="00536CE0"/>
    <w:rsid w:val="00551AF8"/>
    <w:rsid w:val="00552A4C"/>
    <w:rsid w:val="005B5AFF"/>
    <w:rsid w:val="006162A4"/>
    <w:rsid w:val="006346F7"/>
    <w:rsid w:val="006D6EFB"/>
    <w:rsid w:val="007145BC"/>
    <w:rsid w:val="0086297F"/>
    <w:rsid w:val="009E4922"/>
    <w:rsid w:val="00A656E0"/>
    <w:rsid w:val="00AB321D"/>
    <w:rsid w:val="00B165C4"/>
    <w:rsid w:val="00B9462D"/>
    <w:rsid w:val="00C21EE0"/>
    <w:rsid w:val="00D900AB"/>
    <w:rsid w:val="00D936E8"/>
    <w:rsid w:val="00E24633"/>
    <w:rsid w:val="00EB2896"/>
    <w:rsid w:val="00F1534A"/>
    <w:rsid w:val="00FC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2026-04-30T12:42:00Z</dcterms:created>
  <dcterms:modified xsi:type="dcterms:W3CDTF">2026-05-18T15:28:00Z</dcterms:modified>
</cp:coreProperties>
</file>