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BF7CD9" w14:textId="29CC0BD8" w:rsidR="0086297F" w:rsidRPr="00042C80" w:rsidRDefault="0086297F" w:rsidP="0086297F">
      <w:pPr>
        <w:jc w:val="center"/>
        <w:rPr>
          <w:rFonts w:ascii="Titillium Web" w:hAnsi="Titillium Web"/>
          <w:b/>
          <w:bCs/>
          <w:sz w:val="28"/>
          <w:szCs w:val="24"/>
        </w:rPr>
      </w:pPr>
      <w:r w:rsidRPr="00042C80">
        <w:rPr>
          <w:rFonts w:ascii="Titillium Web" w:hAnsi="Titillium Web"/>
          <w:b/>
          <w:bCs/>
          <w:sz w:val="28"/>
          <w:szCs w:val="24"/>
        </w:rPr>
        <w:t>Valle Trebba – Tomba 785</w:t>
      </w:r>
    </w:p>
    <w:tbl>
      <w:tblPr>
        <w:tblStyle w:val="Grigliatabella"/>
        <w:tblW w:w="5000" w:type="pct"/>
        <w:jc w:val="center"/>
        <w:tblLook w:val="04A0" w:firstRow="1" w:lastRow="0" w:firstColumn="1" w:lastColumn="0" w:noHBand="0" w:noVBand="1"/>
      </w:tblPr>
      <w:tblGrid>
        <w:gridCol w:w="2990"/>
        <w:gridCol w:w="6070"/>
      </w:tblGrid>
      <w:tr w:rsidR="0086297F" w:rsidRPr="00D32437" w14:paraId="69604347" w14:textId="77777777" w:rsidTr="002665C6">
        <w:trPr>
          <w:jc w:val="center"/>
        </w:trPr>
        <w:tc>
          <w:tcPr>
            <w:tcW w:w="1650" w:type="pct"/>
            <w:vAlign w:val="center"/>
          </w:tcPr>
          <w:p w14:paraId="59258D49" w14:textId="77777777" w:rsidR="0086297F" w:rsidRPr="00D32437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D32437">
              <w:rPr>
                <w:rFonts w:ascii="Titillium Web" w:hAnsi="Titillium Web"/>
                <w:smallCaps/>
                <w:szCs w:val="24"/>
              </w:rPr>
              <w:t>Anno di rinvenimento</w:t>
            </w:r>
          </w:p>
        </w:tc>
        <w:tc>
          <w:tcPr>
            <w:tcW w:w="3350" w:type="pct"/>
            <w:vAlign w:val="center"/>
          </w:tcPr>
          <w:p w14:paraId="10AA1E7C" w14:textId="59BFE2EE" w:rsidR="0086297F" w:rsidRPr="00D32437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D32437">
              <w:rPr>
                <w:rFonts w:ascii="Titillium Web" w:hAnsi="Titillium Web"/>
                <w:szCs w:val="24"/>
              </w:rPr>
              <w:t>1927</w:t>
            </w:r>
          </w:p>
        </w:tc>
      </w:tr>
      <w:tr w:rsidR="0086297F" w:rsidRPr="00D32437" w14:paraId="3B6B9C62" w14:textId="77777777" w:rsidTr="002665C6">
        <w:trPr>
          <w:jc w:val="center"/>
        </w:trPr>
        <w:tc>
          <w:tcPr>
            <w:tcW w:w="1650" w:type="pct"/>
            <w:vAlign w:val="center"/>
          </w:tcPr>
          <w:p w14:paraId="2D01D888" w14:textId="77777777" w:rsidR="0086297F" w:rsidRPr="00D32437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D32437">
              <w:rPr>
                <w:rFonts w:ascii="Titillium Web" w:hAnsi="Titillium Web"/>
                <w:smallCaps/>
                <w:szCs w:val="24"/>
              </w:rPr>
              <w:t>Stato di conservazione della tomba</w:t>
            </w:r>
          </w:p>
        </w:tc>
        <w:tc>
          <w:tcPr>
            <w:tcW w:w="3350" w:type="pct"/>
            <w:vAlign w:val="center"/>
          </w:tcPr>
          <w:p w14:paraId="3ADC95CD" w14:textId="31719CCD" w:rsidR="0086297F" w:rsidRPr="00D32437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D32437">
              <w:rPr>
                <w:rFonts w:ascii="Titillium Web" w:hAnsi="Titillium Web"/>
                <w:szCs w:val="24"/>
              </w:rPr>
              <w:t>Intatta</w:t>
            </w:r>
          </w:p>
        </w:tc>
      </w:tr>
      <w:tr w:rsidR="0086297F" w:rsidRPr="00D32437" w14:paraId="3D165E1E" w14:textId="77777777" w:rsidTr="002665C6">
        <w:trPr>
          <w:jc w:val="center"/>
        </w:trPr>
        <w:tc>
          <w:tcPr>
            <w:tcW w:w="1650" w:type="pct"/>
            <w:vAlign w:val="center"/>
          </w:tcPr>
          <w:p w14:paraId="2A5B3D4F" w14:textId="77777777" w:rsidR="0086297F" w:rsidRPr="00D32437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D32437">
              <w:rPr>
                <w:rFonts w:ascii="Titillium Web" w:hAnsi="Titillium Web"/>
                <w:smallCaps/>
                <w:szCs w:val="24"/>
              </w:rPr>
              <w:t>Rito di seppellimento</w:t>
            </w:r>
          </w:p>
        </w:tc>
        <w:tc>
          <w:tcPr>
            <w:tcW w:w="3350" w:type="pct"/>
            <w:vAlign w:val="center"/>
          </w:tcPr>
          <w:p w14:paraId="094BD426" w14:textId="6E99443A" w:rsidR="0086297F" w:rsidRPr="00D32437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D32437">
              <w:rPr>
                <w:rFonts w:ascii="Titillium Web" w:hAnsi="Titillium Web"/>
                <w:szCs w:val="24"/>
              </w:rPr>
              <w:t>Cremazione</w:t>
            </w:r>
          </w:p>
        </w:tc>
      </w:tr>
      <w:tr w:rsidR="0086297F" w:rsidRPr="00D32437" w14:paraId="44CADBCB" w14:textId="77777777" w:rsidTr="002665C6">
        <w:trPr>
          <w:jc w:val="center"/>
        </w:trPr>
        <w:tc>
          <w:tcPr>
            <w:tcW w:w="1650" w:type="pct"/>
            <w:vAlign w:val="center"/>
          </w:tcPr>
          <w:p w14:paraId="1E25741A" w14:textId="77777777" w:rsidR="0086297F" w:rsidRPr="00D32437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D32437">
              <w:rPr>
                <w:rFonts w:ascii="Titillium Web" w:hAnsi="Titillium Web"/>
                <w:smallCaps/>
                <w:szCs w:val="24"/>
              </w:rPr>
              <w:t>Struttura tomba</w:t>
            </w:r>
          </w:p>
        </w:tc>
        <w:tc>
          <w:tcPr>
            <w:tcW w:w="3350" w:type="pct"/>
            <w:vAlign w:val="center"/>
          </w:tcPr>
          <w:p w14:paraId="1DE3BCB3" w14:textId="08DB6A85" w:rsidR="0086297F" w:rsidRPr="00D32437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D32437">
              <w:rPr>
                <w:rFonts w:ascii="Titillium Web" w:hAnsi="Titillium Web"/>
                <w:szCs w:val="24"/>
              </w:rPr>
              <w:t>pozzetto semplice</w:t>
            </w:r>
          </w:p>
        </w:tc>
      </w:tr>
      <w:tr w:rsidR="0086297F" w:rsidRPr="00D32437" w14:paraId="47E1F943" w14:textId="77777777" w:rsidTr="002665C6">
        <w:trPr>
          <w:jc w:val="center"/>
        </w:trPr>
        <w:tc>
          <w:tcPr>
            <w:tcW w:w="1650" w:type="pct"/>
            <w:vAlign w:val="center"/>
          </w:tcPr>
          <w:p w14:paraId="355EE080" w14:textId="77777777" w:rsidR="0086297F" w:rsidRPr="00D32437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D32437">
              <w:rPr>
                <w:rFonts w:ascii="Titillium Web" w:hAnsi="Titillium Web"/>
                <w:smallCaps/>
                <w:szCs w:val="24"/>
              </w:rPr>
              <w:t xml:space="preserve">Profondità dal piano di campagna </w:t>
            </w:r>
          </w:p>
        </w:tc>
        <w:tc>
          <w:tcPr>
            <w:tcW w:w="3350" w:type="pct"/>
            <w:vAlign w:val="center"/>
          </w:tcPr>
          <w:p w14:paraId="13D75B9B" w14:textId="6492371F" w:rsidR="0086297F" w:rsidRPr="00D32437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D32437">
              <w:rPr>
                <w:rFonts w:ascii="Titillium Web" w:hAnsi="Titillium Web"/>
                <w:szCs w:val="24"/>
              </w:rPr>
              <w:t>1,15 m</w:t>
            </w:r>
          </w:p>
        </w:tc>
      </w:tr>
      <w:tr w:rsidR="0086297F" w:rsidRPr="00D32437" w14:paraId="75BC79FE" w14:textId="77777777" w:rsidTr="002665C6">
        <w:trPr>
          <w:jc w:val="center"/>
        </w:trPr>
        <w:tc>
          <w:tcPr>
            <w:tcW w:w="1650" w:type="pct"/>
            <w:vAlign w:val="center"/>
          </w:tcPr>
          <w:p w14:paraId="432462C5" w14:textId="77777777" w:rsidR="0086297F" w:rsidRPr="00D32437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D32437">
              <w:rPr>
                <w:rFonts w:ascii="Titillium Web" w:hAnsi="Titillium Web"/>
                <w:smallCaps/>
                <w:szCs w:val="24"/>
              </w:rPr>
              <w:t>Dimensioni della sepoltura</w:t>
            </w:r>
          </w:p>
        </w:tc>
        <w:tc>
          <w:tcPr>
            <w:tcW w:w="3350" w:type="pct"/>
            <w:vAlign w:val="center"/>
          </w:tcPr>
          <w:p w14:paraId="65EDFAD4" w14:textId="5859930D" w:rsidR="0086297F" w:rsidRPr="00D32437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D32437">
              <w:rPr>
                <w:rFonts w:ascii="Titillium Web" w:hAnsi="Titillium Web"/>
                <w:szCs w:val="24"/>
              </w:rPr>
              <w:t>Dimensioni non registrate</w:t>
            </w:r>
          </w:p>
        </w:tc>
      </w:tr>
      <w:tr w:rsidR="0086297F" w:rsidRPr="00D32437" w14:paraId="35E5C09E" w14:textId="77777777" w:rsidTr="002665C6">
        <w:trPr>
          <w:jc w:val="center"/>
        </w:trPr>
        <w:tc>
          <w:tcPr>
            <w:tcW w:w="1650" w:type="pct"/>
            <w:vAlign w:val="center"/>
          </w:tcPr>
          <w:p w14:paraId="5AA10374" w14:textId="77777777" w:rsidR="0086297F" w:rsidRPr="00D32437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D32437">
              <w:rPr>
                <w:rFonts w:ascii="Titillium Web" w:hAnsi="Titillium Web"/>
                <w:smallCaps/>
                <w:szCs w:val="24"/>
              </w:rPr>
              <w:t>Orientamento dello scheletro</w:t>
            </w:r>
          </w:p>
        </w:tc>
        <w:tc>
          <w:tcPr>
            <w:tcW w:w="3350" w:type="pct"/>
            <w:vAlign w:val="center"/>
          </w:tcPr>
          <w:p w14:paraId="6E0E4E7B" w14:textId="7F6B3E0C" w:rsidR="0086297F" w:rsidRPr="00D32437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D32437">
              <w:rPr>
                <w:rFonts w:ascii="Titillium Web" w:hAnsi="Titillium Web"/>
                <w:szCs w:val="24"/>
              </w:rPr>
              <w:t>/</w:t>
            </w:r>
          </w:p>
        </w:tc>
      </w:tr>
      <w:tr w:rsidR="0086297F" w:rsidRPr="00D32437" w14:paraId="71236441" w14:textId="77777777" w:rsidTr="002665C6">
        <w:trPr>
          <w:jc w:val="center"/>
        </w:trPr>
        <w:tc>
          <w:tcPr>
            <w:tcW w:w="1650" w:type="pct"/>
            <w:vAlign w:val="center"/>
          </w:tcPr>
          <w:p w14:paraId="4A1B31A8" w14:textId="77777777" w:rsidR="0086297F" w:rsidRPr="00D32437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D32437">
              <w:rPr>
                <w:rFonts w:ascii="Titillium Web" w:hAnsi="Titillium Web"/>
                <w:smallCaps/>
                <w:szCs w:val="24"/>
              </w:rPr>
              <w:t>Segnacolo</w:t>
            </w:r>
          </w:p>
        </w:tc>
        <w:tc>
          <w:tcPr>
            <w:tcW w:w="3350" w:type="pct"/>
            <w:vAlign w:val="center"/>
          </w:tcPr>
          <w:p w14:paraId="104CE615" w14:textId="50385AE1" w:rsidR="0086297F" w:rsidRPr="00D32437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D32437">
              <w:rPr>
                <w:rFonts w:ascii="Titillium Web" w:hAnsi="Titillium Web"/>
                <w:szCs w:val="24"/>
              </w:rPr>
              <w:t>/</w:t>
            </w:r>
          </w:p>
        </w:tc>
      </w:tr>
      <w:tr w:rsidR="0086297F" w:rsidRPr="00D32437" w14:paraId="6D6CBA71" w14:textId="77777777" w:rsidTr="002665C6">
        <w:trPr>
          <w:jc w:val="center"/>
        </w:trPr>
        <w:tc>
          <w:tcPr>
            <w:tcW w:w="1650" w:type="pct"/>
            <w:vAlign w:val="center"/>
          </w:tcPr>
          <w:p w14:paraId="75CA0D64" w14:textId="77777777" w:rsidR="0086297F" w:rsidRPr="00D32437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D32437">
              <w:rPr>
                <w:rFonts w:ascii="Titillium Web" w:hAnsi="Titillium Web"/>
                <w:smallCaps/>
                <w:szCs w:val="24"/>
              </w:rPr>
              <w:t>Giornale di scavo</w:t>
            </w:r>
          </w:p>
        </w:tc>
        <w:tc>
          <w:tcPr>
            <w:tcW w:w="3350" w:type="pct"/>
            <w:vAlign w:val="center"/>
          </w:tcPr>
          <w:p w14:paraId="3CB266B1" w14:textId="77777777" w:rsidR="00F0327A" w:rsidRPr="00D32437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D32437">
              <w:rPr>
                <w:rFonts w:ascii="Titillium Web" w:hAnsi="Titillium Web"/>
                <w:i/>
                <w:iCs/>
                <w:szCs w:val="24"/>
              </w:rPr>
              <w:t>Tomba 785 a cremazione -</w:t>
            </w:r>
          </w:p>
          <w:p w14:paraId="231A5CC2" w14:textId="77777777" w:rsidR="00F0327A" w:rsidRPr="00D32437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D32437">
              <w:rPr>
                <w:rFonts w:ascii="Titillium Web" w:hAnsi="Titillium Web"/>
                <w:i/>
                <w:iCs/>
                <w:szCs w:val="24"/>
              </w:rPr>
              <w:t>la misura topografica è presa sul mucchietto di ossa combuste.</w:t>
            </w:r>
          </w:p>
          <w:p w14:paraId="45654AC1" w14:textId="77777777" w:rsidR="00F0327A" w:rsidRPr="00D32437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D32437">
              <w:rPr>
                <w:rFonts w:ascii="Titillium Web" w:hAnsi="Titillium Web"/>
                <w:i/>
                <w:iCs/>
                <w:szCs w:val="24"/>
              </w:rPr>
              <w:t>A m. 61,70 dal B, a m. 2 a nord della linea di scavo, a m. 1,15 di profon.tà poggiava una tomba a cremazione.</w:t>
            </w:r>
          </w:p>
          <w:p w14:paraId="59F1A481" w14:textId="77777777" w:rsidR="00F0327A" w:rsidRPr="00D32437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D32437">
              <w:rPr>
                <w:rFonts w:ascii="Titillium Web" w:hAnsi="Titillium Web"/>
                <w:i/>
                <w:iCs/>
                <w:szCs w:val="24"/>
              </w:rPr>
              <w:t>A sud delle ossa combuste era un mucchietto di vasi, nel mezzo dei quali primeggiava:</w:t>
            </w:r>
          </w:p>
          <w:p w14:paraId="2640D343" w14:textId="77777777" w:rsidR="00F0327A" w:rsidRPr="00D32437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D32437">
              <w:rPr>
                <w:rFonts w:ascii="Titillium Web" w:hAnsi="Titillium Web"/>
                <w:i/>
                <w:iCs/>
                <w:szCs w:val="24"/>
              </w:rPr>
              <w:t>1 cratere a campana, di fabbrica etrusco campana, a figure disegnate con pennellate di tinta bruno scura. (teste, palmette e spirali) su fondo rosso: è intero.</w:t>
            </w:r>
          </w:p>
          <w:p w14:paraId="1FF5887C" w14:textId="77777777" w:rsidR="00F0327A" w:rsidRPr="00D32437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D32437">
              <w:rPr>
                <w:rFonts w:ascii="Titillium Web" w:hAnsi="Titillium Web"/>
                <w:i/>
                <w:iCs/>
                <w:szCs w:val="24"/>
              </w:rPr>
              <w:t>1 pisside cilindrica, con coperchio, di argilla giallastra, grezza e intera -</w:t>
            </w:r>
          </w:p>
          <w:p w14:paraId="2981BA0A" w14:textId="77777777" w:rsidR="00F0327A" w:rsidRPr="00D32437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D32437">
              <w:rPr>
                <w:rFonts w:ascii="Titillium Web" w:hAnsi="Titillium Web"/>
                <w:i/>
                <w:iCs/>
                <w:szCs w:val="24"/>
              </w:rPr>
              <w:t>1 lucernina a due becchi, a vern. n., intera.</w:t>
            </w:r>
          </w:p>
          <w:p w14:paraId="70CAE5ED" w14:textId="77777777" w:rsidR="00F0327A" w:rsidRPr="00D32437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D32437">
              <w:rPr>
                <w:rFonts w:ascii="Titillium Web" w:hAnsi="Titillium Web"/>
                <w:i/>
                <w:iCs/>
                <w:szCs w:val="24"/>
              </w:rPr>
              <w:t>4 scodelle a vern. n. scadente, apode, intere.</w:t>
            </w:r>
          </w:p>
          <w:p w14:paraId="32E39C33" w14:textId="77777777" w:rsidR="00F0327A" w:rsidRPr="00D32437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D32437">
              <w:rPr>
                <w:rFonts w:ascii="Titillium Web" w:hAnsi="Titillium Web"/>
                <w:i/>
                <w:iCs/>
                <w:szCs w:val="24"/>
              </w:rPr>
              <w:t>2 idem. di argilla cenere scura, senza vernice.</w:t>
            </w:r>
          </w:p>
          <w:p w14:paraId="60EC27F8" w14:textId="77777777" w:rsidR="00F0327A" w:rsidRPr="00D32437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D32437">
              <w:rPr>
                <w:rFonts w:ascii="Titillium Web" w:hAnsi="Titillium Web"/>
                <w:i/>
                <w:iCs/>
                <w:szCs w:val="24"/>
              </w:rPr>
              <w:t>piattelli di argilla cenerognola, grezzi.</w:t>
            </w:r>
          </w:p>
          <w:p w14:paraId="5EC62DF5" w14:textId="77777777" w:rsidR="00F0327A" w:rsidRPr="00D32437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D32437">
              <w:rPr>
                <w:rFonts w:ascii="Titillium Web" w:hAnsi="Titillium Web"/>
                <w:i/>
                <w:iCs/>
                <w:szCs w:val="24"/>
              </w:rPr>
              <w:t>1 piccolo oinochoe a forma di brocchetta, con costolature in rilievo sul ventre, a vern. n.: intera</w:t>
            </w:r>
          </w:p>
          <w:p w14:paraId="73DDFA2D" w14:textId="77777777" w:rsidR="00F0327A" w:rsidRPr="00D32437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D32437">
              <w:rPr>
                <w:rFonts w:ascii="Titillium Web" w:hAnsi="Titillium Web"/>
                <w:i/>
                <w:iCs/>
                <w:szCs w:val="24"/>
              </w:rPr>
              <w:t>1 skyfos con pieduccio e con anse laterali, con costolature a rilievo, verticali sul corpo: è a vernice nera e conserva presso l’orlo traccie di pittura, di foglie.</w:t>
            </w:r>
          </w:p>
        </w:tc>
      </w:tr>
      <w:tr w:rsidR="0086297F" w:rsidRPr="00D32437" w14:paraId="1429C2F3" w14:textId="77777777" w:rsidTr="002665C6">
        <w:trPr>
          <w:jc w:val="center"/>
        </w:trPr>
        <w:tc>
          <w:tcPr>
            <w:tcW w:w="1650" w:type="pct"/>
            <w:vAlign w:val="center"/>
          </w:tcPr>
          <w:p w14:paraId="7F398080" w14:textId="77777777" w:rsidR="0086297F" w:rsidRPr="00D32437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D32437">
              <w:rPr>
                <w:rFonts w:ascii="Titillium Web" w:hAnsi="Titillium Web"/>
                <w:smallCaps/>
                <w:szCs w:val="24"/>
              </w:rPr>
              <w:t>Posizione del corredo</w:t>
            </w:r>
          </w:p>
        </w:tc>
        <w:tc>
          <w:tcPr>
            <w:tcW w:w="3350" w:type="pct"/>
            <w:vAlign w:val="center"/>
          </w:tcPr>
          <w:p w14:paraId="5C03ADA7" w14:textId="7BF3AD8D" w:rsidR="0086297F" w:rsidRPr="00D32437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D32437">
              <w:rPr>
                <w:rFonts w:ascii="Titillium Web" w:hAnsi="Titillium Web"/>
                <w:szCs w:val="24"/>
              </w:rPr>
              <w:t>Gruppo di oggetti attorno alle ceneri</w:t>
            </w:r>
          </w:p>
        </w:tc>
      </w:tr>
      <w:tr w:rsidR="0086297F" w:rsidRPr="00D32437" w14:paraId="71A0E4AF" w14:textId="77777777" w:rsidTr="002665C6">
        <w:trPr>
          <w:jc w:val="center"/>
        </w:trPr>
        <w:tc>
          <w:tcPr>
            <w:tcW w:w="1650" w:type="pct"/>
            <w:vAlign w:val="center"/>
          </w:tcPr>
          <w:p w14:paraId="2128B19B" w14:textId="77777777" w:rsidR="0086297F" w:rsidRPr="00D32437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D32437">
              <w:rPr>
                <w:rFonts w:ascii="Titillium Web" w:hAnsi="Titillium Web"/>
                <w:smallCaps/>
                <w:szCs w:val="24"/>
              </w:rPr>
              <w:t>Genere (legato all’analisi del corredo)</w:t>
            </w:r>
          </w:p>
        </w:tc>
        <w:tc>
          <w:tcPr>
            <w:tcW w:w="3350" w:type="pct"/>
            <w:vAlign w:val="center"/>
          </w:tcPr>
          <w:p w14:paraId="31324C2B" w14:textId="4E55E405" w:rsidR="0086297F" w:rsidRPr="00D32437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D32437">
              <w:rPr>
                <w:rFonts w:ascii="Titillium Web" w:hAnsi="Titillium Web"/>
                <w:szCs w:val="24"/>
              </w:rPr>
              <w:t>Femminile</w:t>
            </w:r>
          </w:p>
        </w:tc>
      </w:tr>
      <w:tr w:rsidR="0086297F" w:rsidRPr="00D32437" w14:paraId="17633947" w14:textId="77777777" w:rsidTr="002665C6">
        <w:trPr>
          <w:jc w:val="center"/>
        </w:trPr>
        <w:tc>
          <w:tcPr>
            <w:tcW w:w="1650" w:type="pct"/>
            <w:vAlign w:val="center"/>
          </w:tcPr>
          <w:p w14:paraId="44721053" w14:textId="77777777" w:rsidR="0086297F" w:rsidRPr="00D32437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D32437">
              <w:rPr>
                <w:rFonts w:ascii="Titillium Web" w:hAnsi="Titillium Web"/>
                <w:smallCaps/>
                <w:szCs w:val="24"/>
              </w:rPr>
              <w:t>Sesso (legato alle analisi antropologiche)</w:t>
            </w:r>
          </w:p>
        </w:tc>
        <w:tc>
          <w:tcPr>
            <w:tcW w:w="3350" w:type="pct"/>
            <w:vAlign w:val="center"/>
          </w:tcPr>
          <w:p w14:paraId="66E918A4" w14:textId="50197FF0" w:rsidR="0086297F" w:rsidRPr="00D32437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D32437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D32437" w14:paraId="0588946D" w14:textId="77777777" w:rsidTr="002665C6">
        <w:trPr>
          <w:jc w:val="center"/>
        </w:trPr>
        <w:tc>
          <w:tcPr>
            <w:tcW w:w="1650" w:type="pct"/>
            <w:vAlign w:val="center"/>
          </w:tcPr>
          <w:p w14:paraId="54990945" w14:textId="77777777" w:rsidR="0086297F" w:rsidRPr="00D32437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D32437">
              <w:rPr>
                <w:rFonts w:ascii="Titillium Web" w:hAnsi="Titillium Web"/>
                <w:smallCaps/>
                <w:szCs w:val="24"/>
              </w:rPr>
              <w:lastRenderedPageBreak/>
              <w:t>Classi di età</w:t>
            </w:r>
          </w:p>
        </w:tc>
        <w:tc>
          <w:tcPr>
            <w:tcW w:w="3350" w:type="pct"/>
            <w:vAlign w:val="center"/>
          </w:tcPr>
          <w:p w14:paraId="0E0589EA" w14:textId="7D4DF825" w:rsidR="0086297F" w:rsidRPr="00D32437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D32437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D32437" w14:paraId="1FFA88A1" w14:textId="77777777" w:rsidTr="002665C6">
        <w:trPr>
          <w:jc w:val="center"/>
        </w:trPr>
        <w:tc>
          <w:tcPr>
            <w:tcW w:w="1650" w:type="pct"/>
            <w:vAlign w:val="center"/>
          </w:tcPr>
          <w:p w14:paraId="63B2D8D6" w14:textId="77777777" w:rsidR="0086297F" w:rsidRPr="00D32437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D32437">
              <w:rPr>
                <w:rFonts w:ascii="Titillium Web" w:hAnsi="Titillium Web"/>
                <w:smallCaps/>
                <w:szCs w:val="24"/>
              </w:rPr>
              <w:t>Bibliografia essenziale</w:t>
            </w:r>
          </w:p>
        </w:tc>
        <w:tc>
          <w:tcPr>
            <w:tcW w:w="3350" w:type="pct"/>
            <w:vAlign w:val="center"/>
          </w:tcPr>
          <w:p w14:paraId="25D378F3" w14:textId="77777777" w:rsidR="00F0327A" w:rsidRPr="00D32437" w:rsidRDefault="00000000" w:rsidP="0012645E">
            <w:pPr>
              <w:jc w:val="center"/>
              <w:rPr>
                <w:rFonts w:ascii="Titillium Web" w:hAnsi="Titillium Web"/>
                <w:szCs w:val="24"/>
              </w:rPr>
            </w:pPr>
            <w:r w:rsidRPr="00D32437">
              <w:rPr>
                <w:rFonts w:ascii="Titillium Web" w:eastAsia="Titillium" w:hAnsi="Titillium Web" w:cs="Titillium"/>
                <w:i/>
                <w:iCs/>
                <w:szCs w:val="24"/>
              </w:rPr>
              <w:t>Classico Anticlassico</w:t>
            </w:r>
            <w:r w:rsidRPr="00D32437">
              <w:rPr>
                <w:rFonts w:ascii="Titillium Web" w:eastAsia="Titillium" w:hAnsi="Titillium Web" w:cs="Titillium"/>
                <w:szCs w:val="24"/>
              </w:rPr>
              <w:t xml:space="preserve"> 1996, pp. 127-128, n. 37.00; </w:t>
            </w:r>
            <w:r w:rsidRPr="00D32437">
              <w:rPr>
                <w:rFonts w:ascii="Titillium Web" w:eastAsia="Titillium" w:hAnsi="Titillium Web" w:cs="Titillium"/>
                <w:smallCaps/>
                <w:szCs w:val="24"/>
              </w:rPr>
              <w:t>Cornelio</w:t>
            </w:r>
            <w:r w:rsidRPr="00D32437">
              <w:rPr>
                <w:rFonts w:ascii="Titillium Web" w:eastAsia="Titillium" w:hAnsi="Titillium Web" w:cs="Titillium"/>
                <w:szCs w:val="24"/>
              </w:rPr>
              <w:t xml:space="preserve"> </w:t>
            </w:r>
            <w:r w:rsidRPr="00D32437">
              <w:rPr>
                <w:rFonts w:ascii="Titillium Web" w:eastAsia="Titillium" w:hAnsi="Titillium Web" w:cs="Titillium"/>
                <w:smallCaps/>
                <w:szCs w:val="24"/>
              </w:rPr>
              <w:t>Cassai</w:t>
            </w:r>
            <w:r w:rsidRPr="00D32437">
              <w:rPr>
                <w:rFonts w:ascii="Titillium Web" w:eastAsia="Titillium" w:hAnsi="Titillium Web" w:cs="Titillium"/>
                <w:szCs w:val="24"/>
              </w:rPr>
              <w:t xml:space="preserve"> 1993, pp. 327-329, 332-334, nn. 752-778; </w:t>
            </w:r>
            <w:r w:rsidRPr="0012645E">
              <w:rPr>
                <w:rFonts w:ascii="Titillium Web" w:eastAsia="Titillium" w:hAnsi="Titillium Web" w:cs="Titillium"/>
                <w:smallCaps/>
                <w:szCs w:val="24"/>
              </w:rPr>
              <w:t>Trevisanello</w:t>
            </w:r>
            <w:r w:rsidRPr="00D32437">
              <w:rPr>
                <w:rFonts w:ascii="Titillium Web" w:eastAsia="Titillium" w:hAnsi="Titillium Web" w:cs="Titillium"/>
                <w:szCs w:val="24"/>
              </w:rPr>
              <w:t xml:space="preserve"> in </w:t>
            </w:r>
            <w:r w:rsidRPr="0012645E">
              <w:rPr>
                <w:rFonts w:ascii="Titillium Web" w:eastAsia="Titillium" w:hAnsi="Titillium Web" w:cs="Titillium"/>
                <w:i/>
                <w:iCs/>
                <w:szCs w:val="24"/>
              </w:rPr>
              <w:t>Spina</w:t>
            </w:r>
            <w:r w:rsidRPr="00D32437">
              <w:rPr>
                <w:rFonts w:ascii="Titillium Web" w:eastAsia="Titillium" w:hAnsi="Titillium Web" w:cs="Titillium"/>
                <w:szCs w:val="24"/>
              </w:rPr>
              <w:t xml:space="preserve"> 2023, p. 378, n. 238; </w:t>
            </w:r>
            <w:r w:rsidRPr="0012645E">
              <w:rPr>
                <w:rFonts w:ascii="Titillium Web" w:eastAsia="Titillium" w:hAnsi="Titillium Web" w:cs="Titillium"/>
                <w:smallCaps/>
                <w:szCs w:val="24"/>
              </w:rPr>
              <w:t>Trevisanello</w:t>
            </w:r>
            <w:r w:rsidRPr="00D32437">
              <w:rPr>
                <w:rFonts w:ascii="Titillium Web" w:eastAsia="Titillium" w:hAnsi="Titillium Web" w:cs="Titillium"/>
                <w:szCs w:val="24"/>
              </w:rPr>
              <w:t xml:space="preserve"> 2024</w:t>
            </w:r>
          </w:p>
        </w:tc>
      </w:tr>
    </w:tbl>
    <w:p w14:paraId="13D523A5" w14:textId="77777777" w:rsidR="00472AF4" w:rsidRPr="00042C80" w:rsidRDefault="00472AF4" w:rsidP="0086297F">
      <w:pPr>
        <w:rPr>
          <w:rFonts w:ascii="Titillium Web" w:hAnsi="Titillium Web"/>
        </w:rPr>
      </w:pPr>
    </w:p>
    <w:sectPr w:rsidR="00472AF4" w:rsidRPr="00042C80" w:rsidSect="005B5AFF">
      <w:pgSz w:w="11906" w:h="16838"/>
      <w:pgMar w:top="1418" w:right="1418" w:bottom="1418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tillium Web">
    <w:panose1 w:val="00000500000000000000"/>
    <w:charset w:val="00"/>
    <w:family w:val="auto"/>
    <w:pitch w:val="variable"/>
    <w:sig w:usb0="00000007" w:usb1="00000001" w:usb2="00000000" w:usb3="00000000" w:csb0="00000093" w:csb1="00000000"/>
  </w:font>
  <w:font w:name="Titillium">
    <w:altName w:val="Cambria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283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1AF8"/>
    <w:rsid w:val="00042C80"/>
    <w:rsid w:val="000D72F4"/>
    <w:rsid w:val="0012645E"/>
    <w:rsid w:val="001C17CC"/>
    <w:rsid w:val="002977D7"/>
    <w:rsid w:val="00472AF4"/>
    <w:rsid w:val="00535D70"/>
    <w:rsid w:val="00551AF8"/>
    <w:rsid w:val="005B5AFF"/>
    <w:rsid w:val="006162A4"/>
    <w:rsid w:val="006346F7"/>
    <w:rsid w:val="006D6EFB"/>
    <w:rsid w:val="007145BC"/>
    <w:rsid w:val="0086297F"/>
    <w:rsid w:val="009E4922"/>
    <w:rsid w:val="00AB321D"/>
    <w:rsid w:val="00B165C4"/>
    <w:rsid w:val="00C21EE0"/>
    <w:rsid w:val="00D32437"/>
    <w:rsid w:val="00D900AB"/>
    <w:rsid w:val="00D936E8"/>
    <w:rsid w:val="00E24633"/>
    <w:rsid w:val="00F032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E896DF"/>
  <w15:chartTrackingRefBased/>
  <w15:docId w15:val="{EFE63D76-3A16-4E4D-89D8-9FB43B65CA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it-IT" w:eastAsia="en-US" w:bidi="ar-SA"/>
        <w14:ligatures w14:val="standardContextual"/>
      </w:rPr>
    </w:rPrDefault>
    <w:pPrDefault>
      <w:pPr>
        <w:spacing w:after="16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86297F"/>
  </w:style>
  <w:style w:type="paragraph" w:styleId="Titolo1">
    <w:name w:val="heading 1"/>
    <w:basedOn w:val="Normale"/>
    <w:next w:val="Normale"/>
    <w:link w:val="Titolo1Carattere"/>
    <w:uiPriority w:val="9"/>
    <w:qFormat/>
    <w:rsid w:val="00551A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551A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551AF8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551AF8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551AF8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551AF8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551AF8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551AF8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551AF8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551A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551A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551AF8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551AF8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551AF8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551AF8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551AF8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551AF8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551AF8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551AF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551A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551AF8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551AF8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551A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551AF8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551AF8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551AF8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551A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551AF8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551AF8"/>
    <w:rPr>
      <w:b/>
      <w:bCs/>
      <w:smallCaps/>
      <w:color w:val="0F4761" w:themeColor="accent1" w:themeShade="BF"/>
      <w:spacing w:val="5"/>
    </w:rPr>
  </w:style>
  <w:style w:type="table" w:styleId="Grigliatabella">
    <w:name w:val="Table Grid"/>
    <w:basedOn w:val="Tabellanormale"/>
    <w:uiPriority w:val="39"/>
    <w:rsid w:val="0086297F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253</Words>
  <Characters>1445</Characters>
  <Application>Microsoft Office Word</Application>
  <DocSecurity>0</DocSecurity>
  <Lines>12</Lines>
  <Paragraphs>3</Paragraphs>
  <ScaleCrop>false</ScaleCrop>
  <Company/>
  <LinksUpToDate>false</LinksUpToDate>
  <CharactersWithSpaces>1695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martina castoldi</dc:creator>
  <cp:keywords/>
  <dc:description/>
  <cp:lastModifiedBy>martina castoldi</cp:lastModifiedBy>
  <cp:revision>8</cp:revision>
  <dcterms:created xsi:type="dcterms:W3CDTF">2026-04-30T12:42:00Z</dcterms:created>
  <dcterms:modified xsi:type="dcterms:W3CDTF">2026-05-14T16:39:00Z</dcterms:modified>
</cp:coreProperties>
</file>