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E5A2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E5A2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E5A2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E5A2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E5A2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4E5A2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E5A2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E5A2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E5A2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C2A5565" w14:textId="77777777" w:rsidR="0083339A" w:rsidRPr="004E5A24" w:rsidRDefault="005842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5A24">
              <w:rPr>
                <w:rFonts w:ascii="Titillium Web" w:hAnsi="Titillium Web"/>
                <w:i/>
                <w:iCs/>
                <w:szCs w:val="24"/>
              </w:rPr>
              <w:t>Tomba 807 – a cremazione</w:t>
            </w:r>
          </w:p>
          <w:p w14:paraId="5F1AF641" w14:textId="77777777" w:rsidR="0083339A" w:rsidRPr="004E5A24" w:rsidRDefault="005842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5A24">
              <w:rPr>
                <w:rFonts w:ascii="Titillium Web" w:hAnsi="Titillium Web"/>
                <w:i/>
                <w:iCs/>
                <w:szCs w:val="24"/>
              </w:rPr>
              <w:t>A m. 35,35 dal B, a m. 2,80 a nord della linea dei m. 121 da D. B., a m. 1,15 di prof.tà poggiava:</w:t>
            </w:r>
          </w:p>
          <w:p w14:paraId="28661167" w14:textId="77777777" w:rsidR="0083339A" w:rsidRPr="004E5A24" w:rsidRDefault="005842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5A24">
              <w:rPr>
                <w:rFonts w:ascii="Titillium Web" w:hAnsi="Titillium Web"/>
                <w:i/>
                <w:iCs/>
                <w:szCs w:val="24"/>
              </w:rPr>
              <w:t>1 dolio di forma ovoidale, di argilla cenere scuro e di spessore rilevante, e di impasto rozzo e male […].</w:t>
            </w:r>
          </w:p>
          <w:p w14:paraId="6EB66492" w14:textId="77777777" w:rsidR="0083339A" w:rsidRPr="004E5A24" w:rsidRDefault="005842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5A24">
              <w:rPr>
                <w:rFonts w:ascii="Titillium Web" w:hAnsi="Titillium Web"/>
                <w:i/>
                <w:iCs/>
                <w:szCs w:val="24"/>
              </w:rPr>
              <w:t>Era marcito e conteneva le ossa combuste, fra le quali si rinvennero:</w:t>
            </w:r>
          </w:p>
          <w:p w14:paraId="663D322B" w14:textId="77777777" w:rsidR="0083339A" w:rsidRPr="004E5A24" w:rsidRDefault="005842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5A24">
              <w:rPr>
                <w:rFonts w:ascii="Titillium Web" w:hAnsi="Titillium Web"/>
                <w:i/>
                <w:iCs/>
                <w:szCs w:val="24"/>
              </w:rPr>
              <w:t>1 frammento informe di bronzo.</w:t>
            </w:r>
          </w:p>
          <w:p w14:paraId="54BA82A6" w14:textId="77777777" w:rsidR="0083339A" w:rsidRPr="004E5A24" w:rsidRDefault="005842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5A24">
              <w:rPr>
                <w:rFonts w:ascii="Titillium Web" w:hAnsi="Titillium Web"/>
                <w:i/>
                <w:iCs/>
                <w:szCs w:val="24"/>
              </w:rPr>
              <w:t>Il dolio era coperto da una ciotola di argilla cenere scuro, anch’essa marcita.</w:t>
            </w:r>
          </w:p>
          <w:p w14:paraId="1232EAC8" w14:textId="77777777" w:rsidR="0083339A" w:rsidRPr="004E5A24" w:rsidRDefault="0058428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5A24">
              <w:rPr>
                <w:rFonts w:ascii="Titillium Web" w:hAnsi="Titillium Web"/>
                <w:i/>
                <w:iCs/>
                <w:szCs w:val="24"/>
              </w:rPr>
              <w:t>Nulla si raccolse.</w:t>
            </w:r>
          </w:p>
        </w:tc>
      </w:tr>
      <w:tr w:rsidR="0086297F" w:rsidRPr="004E5A2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4E5A2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E5A2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E5A2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E5A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E5A2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E5A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5A2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665B147" w14:textId="77777777" w:rsidR="0083339A" w:rsidRPr="004E5A24" w:rsidRDefault="00584283" w:rsidP="004E5A24">
            <w:pPr>
              <w:jc w:val="center"/>
              <w:rPr>
                <w:rFonts w:ascii="Titillium Web" w:hAnsi="Titillium Web"/>
                <w:szCs w:val="24"/>
              </w:rPr>
            </w:pPr>
            <w:r w:rsidRPr="004E5A24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4E5A24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C0E9C"/>
    <w:rsid w:val="004E5A24"/>
    <w:rsid w:val="00551AF8"/>
    <w:rsid w:val="005B5AFF"/>
    <w:rsid w:val="006162A4"/>
    <w:rsid w:val="006346F7"/>
    <w:rsid w:val="006D6EFB"/>
    <w:rsid w:val="007145BC"/>
    <w:rsid w:val="0083339A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2026-05-14T16:23:00Z</dcterms:modified>
</cp:coreProperties>
</file>