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61C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61C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61C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61C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61C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0,87 m</w:t>
            </w:r>
          </w:p>
        </w:tc>
      </w:tr>
      <w:tr w:rsidR="0086297F" w:rsidRPr="00361C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61C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61C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61C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57CEC5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Tomba 808 – a umazione (sconvolta)</w:t>
            </w:r>
          </w:p>
          <w:p w14:paraId="5EA432B5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A m. 39,50 dal. B, a m. 5,75 a nord della linea dei m. 121 dal D. B. a m. 0,87 di prof.tà giaceva una tomba a umazione il di cui scheletro era completamente sconvolto. Si riconosceva però che l’orientamento dello scheletro doveva essere stato nord-ovest e sud-est.</w:t>
            </w:r>
          </w:p>
          <w:p w14:paraId="5C3A2D1C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A destra delle ossa dello scheletro si raccolsero (sconvolti anch’essi) i seguenti fittili:</w:t>
            </w:r>
          </w:p>
          <w:p w14:paraId="3EE15F77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2 oinochoai a forma di fiasca, con bocca trilobata a vern. n. scadente, entrambi interi: uno grande e uno piccolo</w:t>
            </w:r>
          </w:p>
          <w:p w14:paraId="67183F54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1 kotylos emisferico, a vern. n. scadente (grande) in frammenti: era coperto da</w:t>
            </w:r>
          </w:p>
          <w:p w14:paraId="28427752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1 grande piatto per pesce, a vern. n. scadente, intero</w:t>
            </w:r>
          </w:p>
          <w:p w14:paraId="18E85DA8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1 ascos (boccalino) otriforme, a ver. n. scadente e intero</w:t>
            </w:r>
          </w:p>
          <w:p w14:paraId="255DB9D8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1CFE">
              <w:rPr>
                <w:rFonts w:ascii="Titillium Web" w:hAnsi="Titillium Web"/>
                <w:i/>
                <w:iCs/>
                <w:szCs w:val="24"/>
              </w:rPr>
              <w:t>1 kotylos piccolo emisferico, a vern. n. scadente, in frammenti</w:t>
            </w:r>
          </w:p>
          <w:p w14:paraId="17AF55B5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CF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61CFE">
              <w:rPr>
                <w:rFonts w:ascii="Titillium Web" w:hAnsi="Titillium Web"/>
                <w:i/>
                <w:iCs/>
                <w:szCs w:val="24"/>
              </w:rPr>
              <w:t xml:space="preserve"> scodelle apode, a vern. nera, intere</w:t>
            </w:r>
          </w:p>
          <w:p w14:paraId="3C77CA1C" w14:textId="77777777" w:rsidR="00EF3405" w:rsidRPr="00361CFE" w:rsidRDefault="00967F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61CF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61CFE">
              <w:rPr>
                <w:rFonts w:ascii="Titillium Web" w:hAnsi="Titillium Web"/>
                <w:i/>
                <w:iCs/>
                <w:szCs w:val="24"/>
              </w:rPr>
              <w:t xml:space="preserve"> piattelli a vern. nera scadente, interi</w:t>
            </w:r>
          </w:p>
        </w:tc>
      </w:tr>
      <w:tr w:rsidR="0086297F" w:rsidRPr="00361C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61C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C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C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61C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1C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61C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1C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916757" w14:textId="77777777" w:rsidR="00EF3405" w:rsidRPr="00361CFE" w:rsidRDefault="00967F13" w:rsidP="00361CFE">
            <w:pPr>
              <w:jc w:val="center"/>
              <w:rPr>
                <w:rFonts w:ascii="Titillium Web" w:hAnsi="Titillium Web"/>
                <w:szCs w:val="24"/>
              </w:rPr>
            </w:pPr>
            <w:r w:rsidRPr="00361CFE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361CF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1CFE"/>
    <w:rsid w:val="00472AF4"/>
    <w:rsid w:val="00551AF8"/>
    <w:rsid w:val="005B5AFF"/>
    <w:rsid w:val="006162A4"/>
    <w:rsid w:val="006346F7"/>
    <w:rsid w:val="006D6EFB"/>
    <w:rsid w:val="007145BC"/>
    <w:rsid w:val="00843826"/>
    <w:rsid w:val="0086297F"/>
    <w:rsid w:val="009E4922"/>
    <w:rsid w:val="00AB321D"/>
    <w:rsid w:val="00B165C4"/>
    <w:rsid w:val="00C21EE0"/>
    <w:rsid w:val="00D900AB"/>
    <w:rsid w:val="00D936E8"/>
    <w:rsid w:val="00E24633"/>
    <w:rsid w:val="00EF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2026-05-14T16:21:00Z</dcterms:modified>
</cp:coreProperties>
</file>