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811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A1F4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A1F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1F4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A1F4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A1F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1F4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A1F4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A1F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1F4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A1F4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A1F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1F4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A1F4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A1F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1F42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6A1F4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A1F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1F4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A1F4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A1F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1F4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A1F4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A1F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1F4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A1F4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4BBA329" w14:textId="77777777" w:rsidR="00CA33EE" w:rsidRPr="006A1F42" w:rsidRDefault="006B64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1F42">
              <w:rPr>
                <w:rFonts w:ascii="Titillium Web" w:hAnsi="Titillium Web"/>
                <w:i/>
                <w:iCs/>
                <w:szCs w:val="24"/>
              </w:rPr>
              <w:t>Tomba 811 a umazione</w:t>
            </w:r>
          </w:p>
          <w:p w14:paraId="0D6F3789" w14:textId="77777777" w:rsidR="00CA33EE" w:rsidRPr="006A1F42" w:rsidRDefault="006B64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1F42">
              <w:rPr>
                <w:rFonts w:ascii="Titillium Web" w:hAnsi="Titillium Web"/>
                <w:i/>
                <w:iCs/>
                <w:szCs w:val="24"/>
              </w:rPr>
              <w:t>A m. 41,90 dal B, a m. 7,60 a nord dalla linea di scavo, a m. 1,10 di profondità giaceva uno scheletro marcito orientato da nord-ovest a sud-est, il quale aveva alla sua destra, presso il cranio_</w:t>
            </w:r>
          </w:p>
          <w:p w14:paraId="7EB23BDD" w14:textId="77777777" w:rsidR="00CA33EE" w:rsidRPr="006A1F42" w:rsidRDefault="006B64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1F42">
              <w:rPr>
                <w:rFonts w:ascii="Titillium Web" w:hAnsi="Titillium Web"/>
                <w:i/>
                <w:iCs/>
                <w:szCs w:val="24"/>
              </w:rPr>
              <w:t>1 anfora vinaria pontuta, di argilla giallo cenere male cotta e marcita: non si raccolse –</w:t>
            </w:r>
          </w:p>
          <w:p w14:paraId="16AF76DD" w14:textId="77777777" w:rsidR="00CA33EE" w:rsidRPr="006A1F42" w:rsidRDefault="006B64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1F42">
              <w:rPr>
                <w:rFonts w:ascii="Titillium Web" w:hAnsi="Titillium Web"/>
                <w:i/>
                <w:iCs/>
                <w:szCs w:val="24"/>
              </w:rPr>
              <w:t>1 vaso sferico molto panciuto, con due anse abbinate che attaccano presso la bocca e sulla spalla del vaso.</w:t>
            </w:r>
          </w:p>
          <w:p w14:paraId="646FAD36" w14:textId="77777777" w:rsidR="00CA33EE" w:rsidRPr="006A1F42" w:rsidRDefault="006B64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1F42">
              <w:rPr>
                <w:rFonts w:ascii="Titillium Web" w:hAnsi="Titillium Web"/>
                <w:i/>
                <w:iCs/>
                <w:szCs w:val="24"/>
              </w:rPr>
              <w:t>È di argilla giallastra, grezzo, intero.</w:t>
            </w:r>
          </w:p>
        </w:tc>
      </w:tr>
      <w:tr w:rsidR="0086297F" w:rsidRPr="006A1F4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A1F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1F4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A1F4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A1F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1F4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1F4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A1F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1F4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1F4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A1F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A1F42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6A1F4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A1F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1F4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B54E1E9" w14:textId="77777777" w:rsidR="00CA33EE" w:rsidRPr="006A1F42" w:rsidRDefault="006B6497" w:rsidP="006A1F42">
            <w:pPr>
              <w:jc w:val="center"/>
              <w:rPr>
                <w:rFonts w:ascii="Titillium Web" w:hAnsi="Titillium Web"/>
                <w:szCs w:val="24"/>
              </w:rPr>
            </w:pPr>
            <w:r w:rsidRPr="006A1F42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6A1F42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1D"/>
    <w:rsid w:val="000D72F4"/>
    <w:rsid w:val="001C17CC"/>
    <w:rsid w:val="002977D7"/>
    <w:rsid w:val="00472AF4"/>
    <w:rsid w:val="00551AF8"/>
    <w:rsid w:val="005B5AFF"/>
    <w:rsid w:val="006162A4"/>
    <w:rsid w:val="006346F7"/>
    <w:rsid w:val="006A1F42"/>
    <w:rsid w:val="006D6EFB"/>
    <w:rsid w:val="007145BC"/>
    <w:rsid w:val="0086297F"/>
    <w:rsid w:val="009E4922"/>
    <w:rsid w:val="00AB321D"/>
    <w:rsid w:val="00B165C4"/>
    <w:rsid w:val="00C21EE0"/>
    <w:rsid w:val="00CA33E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2026-05-14T16:20:00Z</dcterms:modified>
</cp:coreProperties>
</file>