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74BBC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74BBC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74BBC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D74BBC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D74BBC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1,40 m</w:t>
            </w:r>
          </w:p>
        </w:tc>
      </w:tr>
      <w:tr w:rsidR="001B5504" w:rsidRPr="00D74BBC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74BBC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74BBC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6EE73FB" w:rsidR="001B5504" w:rsidRPr="00D74BBC" w:rsidRDefault="002A2E4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74BBC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74BBC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C63A218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82 Tomba – a umazione</w:t>
            </w:r>
          </w:p>
          <w:p w14:paraId="454E649C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A m 29 lungo l’asse del dosso e a m 3 a </w:t>
            </w:r>
            <w:proofErr w:type="spellStart"/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., alla profondità di m 1,40 si rinvenne una tomba completamente sepolta nel fango e nell’acqua.</w:t>
            </w:r>
          </w:p>
          <w:p w14:paraId="6B76921B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Dello scheletro non si è potuto constatare la orientazione.</w:t>
            </w:r>
          </w:p>
          <w:p w14:paraId="3ED0030E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Presso la testa aveva:</w:t>
            </w:r>
          </w:p>
          <w:p w14:paraId="4D1203A1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anfora di te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rra gialla ben cotta, con due manici nel collo sotto l’orlo; è alta cm 68, è leggermente frammentaria nell’orlo.</w:t>
            </w:r>
          </w:p>
          <w:p w14:paraId="472225A2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oinochoai a ver. n.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 con bocca trilobata, interi, alti cm 27</w:t>
            </w:r>
          </w:p>
          <w:p w14:paraId="040A9225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scodelle a v.n. gra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ndi e intere – diam. cm 21 ½ </w:t>
            </w:r>
          </w:p>
          <w:p w14:paraId="24954433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grande </w:t>
            </w:r>
            <w:proofErr w:type="spellStart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v.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n., in frammenti,</w:t>
            </w:r>
          </w:p>
          <w:p w14:paraId="0D661932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lekane</w:t>
            </w:r>
            <w:proofErr w:type="spellEnd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con coperchio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, in frammenti; decorati di linee brune a zig-zag e a denti di lupo</w:t>
            </w:r>
          </w:p>
          <w:p w14:paraId="20E13D47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lucerna a ciambella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, mancante dell’ansa; a ver. n.</w:t>
            </w:r>
          </w:p>
          <w:p w14:paraId="7BF8836A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grandi piatti a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 ver. n. con piede alto frammentati</w:t>
            </w:r>
          </w:p>
          <w:p w14:paraId="07D6634F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6</w:t>
            </w:r>
            <w:proofErr w:type="gramEnd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piattelli piccoli 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a ver. n. e a piede alto – (4 interi)</w:t>
            </w:r>
          </w:p>
          <w:p w14:paraId="46AC9375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5</w:t>
            </w:r>
            <w:proofErr w:type="gramEnd"/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scodelle a ver.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 n. a basso piede (parti frammentarie)</w:t>
            </w:r>
          </w:p>
          <w:p w14:paraId="65A1CD76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vasetto di color cenerognolo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 e d’impasto locale – </w:t>
            </w:r>
          </w:p>
          <w:p w14:paraId="0B541F88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diversi frammenti informi 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di ferro</w:t>
            </w:r>
          </w:p>
          <w:p w14:paraId="354A5AF4" w14:textId="77777777" w:rsidR="002A2E45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bastoncello di pasta vitrea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 xml:space="preserve"> lungo cm 9 – spezzato in due e nell’interno ha come ossatura un filo di bronzo – </w:t>
            </w:r>
          </w:p>
          <w:p w14:paraId="1A6B7E7E" w14:textId="1200E218" w:rsidR="001B5504" w:rsidRPr="00D74BBC" w:rsidRDefault="002A2E45" w:rsidP="002A2E4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altri frammenti</w:t>
            </w:r>
          </w:p>
        </w:tc>
      </w:tr>
      <w:tr w:rsidR="001B5504" w:rsidRPr="00D74BBC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47A4629" w14:textId="77777777" w:rsidR="001B5504" w:rsidRPr="00D74BBC" w:rsidRDefault="002675F8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Le condizioni dello scavo, fra fango e acqua, resero impossibile determinare l’orientamento del defunto e la posizione del corredo rispetto ad esso. Gli oggetti erano </w:t>
            </w:r>
            <w:r w:rsidRPr="00D74BBC">
              <w:rPr>
                <w:rFonts w:ascii="Titillium Web" w:hAnsi="Titillium Web"/>
                <w:szCs w:val="24"/>
              </w:rPr>
              <w:lastRenderedPageBreak/>
              <w:t xml:space="preserve">raggruppati fra loro e, a partire da un’anfora da trasporto (n. 27), seguivano vasi di produzione locale (choes, skyphos, </w:t>
            </w:r>
            <w:proofErr w:type="spellStart"/>
            <w:r w:rsidRPr="00D74BBC">
              <w:rPr>
                <w:rFonts w:ascii="Titillium Web" w:hAnsi="Titillium Web"/>
                <w:szCs w:val="24"/>
              </w:rPr>
              <w:t>lekanis</w:t>
            </w:r>
            <w:proofErr w:type="spellEnd"/>
            <w:r w:rsidRPr="00D74BBC">
              <w:rPr>
                <w:rFonts w:ascii="Titillium Web" w:hAnsi="Titillium Web"/>
                <w:szCs w:val="24"/>
              </w:rPr>
              <w:t>, olla, ciotole e piattelli, nn. 1, 3-26), un askòs volterrano (n. 2), frr. di ferro e di pasta vitrea, probabilmente riconducibili ad un candelabro e un ago crinale (nn. 28-29).</w:t>
            </w:r>
          </w:p>
          <w:p w14:paraId="1FBD4CB6" w14:textId="3C6A5684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1. </w:t>
            </w:r>
            <w:r w:rsidR="00376632" w:rsidRPr="00D74BBC">
              <w:rPr>
                <w:rFonts w:ascii="Titillium Web" w:hAnsi="Titillium Web"/>
                <w:szCs w:val="24"/>
              </w:rPr>
              <w:t>Lekanis di produzione locale alto-adriatica (IG 967; vernice nera)</w:t>
            </w:r>
          </w:p>
          <w:p w14:paraId="3C349E93" w14:textId="53E8D330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2. </w:t>
            </w:r>
            <w:r w:rsidR="00376632" w:rsidRPr="00D74BBC">
              <w:rPr>
                <w:rFonts w:ascii="Titillium Web" w:hAnsi="Titillium Web"/>
                <w:szCs w:val="24"/>
              </w:rPr>
              <w:t>Askòs ad anello volterrano (IG 952; vernice nera)</w:t>
            </w:r>
          </w:p>
          <w:p w14:paraId="49B44E66" w14:textId="738BA144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3. </w:t>
            </w:r>
            <w:r w:rsidR="00376632" w:rsidRPr="00D74BBC">
              <w:rPr>
                <w:rFonts w:ascii="Titillium Web" w:hAnsi="Titillium Web"/>
                <w:szCs w:val="24"/>
              </w:rPr>
              <w:t>Chous di produzione locale a bocca trilobata (IG 959; vernice nera)</w:t>
            </w:r>
          </w:p>
          <w:p w14:paraId="25306AE2" w14:textId="7CE9010E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4. </w:t>
            </w:r>
            <w:r w:rsidR="00376632" w:rsidRPr="00D74BBC">
              <w:rPr>
                <w:rFonts w:ascii="Titillium Web" w:hAnsi="Titillium Web"/>
                <w:szCs w:val="24"/>
              </w:rPr>
              <w:t>Chous di produzione locale a bocca trilobata (IG 962; vernice nera)</w:t>
            </w:r>
          </w:p>
          <w:p w14:paraId="4D81330C" w14:textId="60E7D797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5. </w:t>
            </w:r>
            <w:r w:rsidR="00376632" w:rsidRPr="00D74BBC">
              <w:rPr>
                <w:rFonts w:ascii="Titillium Web" w:hAnsi="Titillium Web"/>
                <w:szCs w:val="24"/>
              </w:rPr>
              <w:t>Skyphos di produzione locale (IG 960; vernice nera)</w:t>
            </w:r>
          </w:p>
          <w:p w14:paraId="7090301E" w14:textId="6A71BE5D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6.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949; vernice nera)</w:t>
            </w:r>
          </w:p>
          <w:p w14:paraId="6692EA27" w14:textId="3FFF760F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7.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950; vernice nera)</w:t>
            </w:r>
          </w:p>
          <w:p w14:paraId="2D2DD2BB" w14:textId="00DAB9AD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8.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951; vernice nera)</w:t>
            </w:r>
          </w:p>
          <w:p w14:paraId="51FA0D60" w14:textId="4A8498E4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9.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953; vernice nera)</w:t>
            </w:r>
          </w:p>
          <w:p w14:paraId="00DFF39F" w14:textId="3940AC40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10.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954; vernice nera)</w:t>
            </w:r>
          </w:p>
          <w:p w14:paraId="2A91C2C6" w14:textId="385AAD70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11.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956; vernice nera)</w:t>
            </w:r>
          </w:p>
          <w:p w14:paraId="34E9FF9F" w14:textId="5582950D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12.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957; vernice nera)</w:t>
            </w:r>
          </w:p>
          <w:p w14:paraId="10004600" w14:textId="51387FDB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13.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958; vernice nera)</w:t>
            </w:r>
          </w:p>
          <w:p w14:paraId="758A37EA" w14:textId="3CED784A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14. </w:t>
            </w:r>
            <w:r w:rsidR="00376632" w:rsidRPr="00D74BBC">
              <w:rPr>
                <w:rFonts w:ascii="Titillium Web" w:hAnsi="Titillium Web"/>
                <w:szCs w:val="24"/>
              </w:rPr>
              <w:t xml:space="preserve">Ciotola </w:t>
            </w:r>
            <w:r w:rsidRPr="00D74BBC">
              <w:rPr>
                <w:rFonts w:ascii="Titillium Web" w:hAnsi="Titillium Web"/>
                <w:szCs w:val="24"/>
              </w:rPr>
              <w:t xml:space="preserve">di produzione </w:t>
            </w:r>
            <w:r w:rsidR="00376632" w:rsidRPr="00D74BBC">
              <w:rPr>
                <w:rFonts w:ascii="Titillium Web" w:hAnsi="Titillium Web"/>
                <w:szCs w:val="24"/>
              </w:rPr>
              <w:t>volterrana (?) (IG 28326; vernice nera)</w:t>
            </w:r>
          </w:p>
          <w:p w14:paraId="52900042" w14:textId="1DB4CA76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15.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20759; vernice nera)</w:t>
            </w:r>
          </w:p>
          <w:p w14:paraId="7966C9F3" w14:textId="240F6B50" w:rsidR="00376632" w:rsidRPr="00D74BBC" w:rsidRDefault="008D67BD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16. </w:t>
            </w:r>
            <w:r w:rsidR="00376632" w:rsidRPr="00D74BBC">
              <w:rPr>
                <w:rFonts w:ascii="Titillium Web" w:hAnsi="Titillium Web"/>
                <w:szCs w:val="24"/>
              </w:rPr>
              <w:t>Ciotola di produzione locale (IG 20759; vernice nera)</w:t>
            </w:r>
          </w:p>
          <w:p w14:paraId="775E77A5" w14:textId="7FB20A1D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17.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963; vernice nera)</w:t>
            </w:r>
          </w:p>
          <w:p w14:paraId="7E20E541" w14:textId="32E46742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18.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964; vernice nera)</w:t>
            </w:r>
          </w:p>
          <w:p w14:paraId="4F07F99B" w14:textId="7FE82D94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19.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942; vernice nera)</w:t>
            </w:r>
          </w:p>
          <w:p w14:paraId="7FFF870C" w14:textId="5F56DAEA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20.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943; vernice nera)</w:t>
            </w:r>
          </w:p>
          <w:p w14:paraId="08ECCC1A" w14:textId="6C5C3920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21.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944; vernice nera)</w:t>
            </w:r>
          </w:p>
          <w:p w14:paraId="7F5EB4EB" w14:textId="5CD46F22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22.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945; vernice nera)</w:t>
            </w:r>
          </w:p>
          <w:p w14:paraId="6F4F9367" w14:textId="54352407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lastRenderedPageBreak/>
              <w:t xml:space="preserve">23.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946; vernice nera)</w:t>
            </w:r>
          </w:p>
          <w:p w14:paraId="5AD6D652" w14:textId="3A783679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24.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947; vernice nera)</w:t>
            </w:r>
          </w:p>
          <w:p w14:paraId="7EE8E406" w14:textId="3E3327F1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25. </w:t>
            </w:r>
            <w:r w:rsidR="00376632" w:rsidRPr="00D74BBC">
              <w:rPr>
                <w:rFonts w:ascii="Titillium Web" w:hAnsi="Titillium Web"/>
                <w:szCs w:val="24"/>
              </w:rPr>
              <w:t>Piatto su alto piede di produzione locale (IG 948; vernice nera)</w:t>
            </w:r>
          </w:p>
          <w:p w14:paraId="4780AB06" w14:textId="0B2BDEFC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26. </w:t>
            </w:r>
            <w:r w:rsidR="00376632" w:rsidRPr="00D74BBC">
              <w:rPr>
                <w:rFonts w:ascii="Titillium Web" w:hAnsi="Titillium Web"/>
                <w:szCs w:val="24"/>
              </w:rPr>
              <w:t>Olla di produzione locale (IG 966; ceramica grezza)</w:t>
            </w:r>
          </w:p>
          <w:p w14:paraId="2E2DCDF0" w14:textId="0785A2C0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27. </w:t>
            </w:r>
            <w:r w:rsidR="00376632" w:rsidRPr="00D74BBC">
              <w:rPr>
                <w:rFonts w:ascii="Titillium Web" w:hAnsi="Titillium Web"/>
                <w:szCs w:val="24"/>
              </w:rPr>
              <w:t>Anfora da trasporto greco-italica (IG 20578; impasto grezzo)</w:t>
            </w:r>
          </w:p>
          <w:p w14:paraId="2E4231FA" w14:textId="09C36B65" w:rsidR="00376632" w:rsidRPr="00D74BBC" w:rsidRDefault="007C064E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28. </w:t>
            </w:r>
            <w:r w:rsidR="00376632" w:rsidRPr="00D74BBC">
              <w:rPr>
                <w:rFonts w:ascii="Titillium Web" w:hAnsi="Titillium Web"/>
                <w:szCs w:val="24"/>
              </w:rPr>
              <w:t>Oggetto non determinabile (</w:t>
            </w:r>
            <w:r w:rsidR="004610E2" w:rsidRPr="00D74BBC">
              <w:rPr>
                <w:rFonts w:ascii="Titillium Web" w:hAnsi="Titillium Web"/>
                <w:szCs w:val="24"/>
              </w:rPr>
              <w:t xml:space="preserve">senza IG; </w:t>
            </w:r>
            <w:r w:rsidR="00376632" w:rsidRPr="00D74BBC">
              <w:rPr>
                <w:rFonts w:ascii="Titillium Web" w:hAnsi="Titillium Web"/>
                <w:szCs w:val="24"/>
              </w:rPr>
              <w:t>ferro)</w:t>
            </w:r>
          </w:p>
          <w:p w14:paraId="5EE32F9C" w14:textId="577775FB" w:rsidR="002675F8" w:rsidRPr="00D74BBC" w:rsidRDefault="004610E2" w:rsidP="004610E2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 xml:space="preserve">29. </w:t>
            </w:r>
            <w:r w:rsidR="00376632" w:rsidRPr="00D74BBC">
              <w:rPr>
                <w:rFonts w:ascii="Titillium Web" w:hAnsi="Titillium Web"/>
                <w:szCs w:val="24"/>
              </w:rPr>
              <w:t>Ago crinale (IG 20581; pasta vitrea)</w:t>
            </w:r>
          </w:p>
        </w:tc>
      </w:tr>
      <w:tr w:rsidR="001B5504" w:rsidRPr="00D74BBC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6AABA2B" w:rsidR="001B5504" w:rsidRPr="00D74BBC" w:rsidRDefault="004D08F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74BBC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6221544" w:rsidR="001B5504" w:rsidRPr="00D74BBC" w:rsidRDefault="004D08F2" w:rsidP="004D08F2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74BBC">
              <w:rPr>
                <w:rFonts w:ascii="Titillium Web" w:hAnsi="Titillium Web" w:cs="Times New Roman"/>
                <w:szCs w:val="24"/>
              </w:rPr>
              <w:t>Si escludono dal corredo quattro vasi a v.n. (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kantharos</w:t>
            </w:r>
            <w:r w:rsidRPr="00D74BBC">
              <w:rPr>
                <w:rFonts w:ascii="Titillium Web" w:hAnsi="Titillium Web" w:cs="Times New Roman"/>
                <w:szCs w:val="24"/>
              </w:rPr>
              <w:t xml:space="preserve">, due </w:t>
            </w:r>
            <w:r w:rsidRPr="00D74BBC">
              <w:rPr>
                <w:rFonts w:ascii="Titillium Web" w:hAnsi="Titillium Web" w:cs="Times New Roman"/>
                <w:i/>
                <w:iCs/>
                <w:szCs w:val="24"/>
              </w:rPr>
              <w:t>skyphoi</w:t>
            </w:r>
            <w:r w:rsidRPr="00D74BBC">
              <w:rPr>
                <w:rFonts w:ascii="Titillium Web" w:hAnsi="Titillium Web" w:cs="Times New Roman"/>
                <w:szCs w:val="24"/>
              </w:rPr>
              <w:t xml:space="preserve"> e una ciotola poiché non menzionati o non corrispondenti alle descrizioni fornite dal GdS.</w:t>
            </w:r>
          </w:p>
        </w:tc>
      </w:tr>
      <w:tr w:rsidR="001B5504" w:rsidRPr="00D74BBC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74BBC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74BBC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74BBC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74BBC">
              <w:rPr>
                <w:rFonts w:ascii="Titillium Web" w:hAnsi="Titillium Web"/>
                <w:szCs w:val="24"/>
              </w:rPr>
              <w:t>300-250 a.C.</w:t>
            </w:r>
          </w:p>
        </w:tc>
      </w:tr>
      <w:tr w:rsidR="001B5504" w:rsidRPr="00D74BBC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13503D8" w:rsidR="001B5504" w:rsidRPr="00D74BBC" w:rsidRDefault="00046F55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74BBC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74BB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BB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74BB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46F55"/>
    <w:rsid w:val="000D72F4"/>
    <w:rsid w:val="001B5504"/>
    <w:rsid w:val="001F2833"/>
    <w:rsid w:val="002675F8"/>
    <w:rsid w:val="0029024B"/>
    <w:rsid w:val="002977D7"/>
    <w:rsid w:val="002A2E45"/>
    <w:rsid w:val="002F1500"/>
    <w:rsid w:val="00376632"/>
    <w:rsid w:val="004610E2"/>
    <w:rsid w:val="00472AF4"/>
    <w:rsid w:val="004D08F2"/>
    <w:rsid w:val="005B5AFF"/>
    <w:rsid w:val="0068458A"/>
    <w:rsid w:val="00710B38"/>
    <w:rsid w:val="007145BC"/>
    <w:rsid w:val="007C064E"/>
    <w:rsid w:val="007D54CD"/>
    <w:rsid w:val="00851637"/>
    <w:rsid w:val="008D67B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07C34"/>
    <w:rsid w:val="00D54723"/>
    <w:rsid w:val="00D74BBC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2026-05-18T08:37:00Z</dcterms:modified>
</cp:coreProperties>
</file>