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040A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040A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040A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040A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040A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8040A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040A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040A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40A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C63463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Tomba 822 a umazione.</w:t>
            </w:r>
          </w:p>
          <w:p w14:paraId="01D49D53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A m 72,80 dal B, a m 9,15 a nord della linea di scavo, a m 1,08 di prof.tà, giaceva uno scheletro orientato da nord-ovest a sud-est: lo scheletro era scomposto.</w:t>
            </w:r>
          </w:p>
          <w:p w14:paraId="54A42715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Evidentemente era stato frugato, ma il vasellame a destra dello scheletro era tutto in posto (solo le ossa dello scheletro erano in parte sconvolte).</w:t>
            </w:r>
          </w:p>
          <w:p w14:paraId="387C37BC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Si raccolsero i seguenti fittili:</w:t>
            </w:r>
          </w:p>
          <w:p w14:paraId="1072EF62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1 oinochoe a forma di fiasca, piccolo, con la bocca trilobata e con striature verticali sul ventre; fra due testine umane in rilievo negli attacchi dell’ansa. È a vern. n. scadente, diluita.</w:t>
            </w:r>
          </w:p>
          <w:p w14:paraId="24562C0A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1 vasetto a forma ovoidale (guttus) con beccuccio orizzontale, a vern. nera scadente intero</w:t>
            </w:r>
          </w:p>
          <w:p w14:paraId="18E44045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1 oinochoe a forma di fiasca, con bocca trilobata, con disegno di testone e palmette: è intero.</w:t>
            </w:r>
          </w:p>
          <w:p w14:paraId="0782593B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40A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40AD">
              <w:rPr>
                <w:rFonts w:ascii="Titillium Web" w:hAnsi="Titillium Web"/>
                <w:i/>
                <w:iCs/>
                <w:szCs w:val="24"/>
              </w:rPr>
              <w:t xml:space="preserve"> piccoli oinochoai a forma di fiasca, con beccuccio verticale a cartoccio e con ansa verticale serpeggiante. Sono a vernice nera e interi.</w:t>
            </w:r>
          </w:p>
          <w:p w14:paraId="2EA5EED2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40A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40AD">
              <w:rPr>
                <w:rFonts w:ascii="Titillium Web" w:hAnsi="Titillium Web"/>
                <w:i/>
                <w:iCs/>
                <w:szCs w:val="24"/>
              </w:rPr>
              <w:t xml:space="preserve"> balsamari fittili, di argilla giallastra, grezzi, tipo alabastron, con piede - interi</w:t>
            </w:r>
          </w:p>
          <w:p w14:paraId="2EC7C595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1 kotylos di forma emisferica, a vern. n. scadente, in frammenti.</w:t>
            </w:r>
          </w:p>
          <w:p w14:paraId="40F3B00F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1 piatto per pesce, apodo, slabbrato in parte: è a vern. nera scadente.</w:t>
            </w:r>
          </w:p>
          <w:p w14:paraId="5FB5FB80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 xml:space="preserve">1 scodella a vern. n. scadente, con palmette impresse: è rotta in </w:t>
            </w:r>
            <w:proofErr w:type="gramStart"/>
            <w:r w:rsidRPr="008040A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40AD">
              <w:rPr>
                <w:rFonts w:ascii="Titillium Web" w:hAnsi="Titillium Web"/>
                <w:i/>
                <w:iCs/>
                <w:szCs w:val="24"/>
              </w:rPr>
              <w:t xml:space="preserve"> pezzi.</w:t>
            </w:r>
          </w:p>
          <w:p w14:paraId="637E4559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40AD">
              <w:rPr>
                <w:rFonts w:ascii="Titillium Web" w:hAnsi="Titillium Web"/>
                <w:i/>
                <w:iCs/>
                <w:szCs w:val="24"/>
              </w:rPr>
              <w:lastRenderedPageBreak/>
              <w:t>3</w:t>
            </w:r>
            <w:proofErr w:type="gramEnd"/>
            <w:r w:rsidRPr="008040AD">
              <w:rPr>
                <w:rFonts w:ascii="Titillium Web" w:hAnsi="Titillium Web"/>
                <w:i/>
                <w:iCs/>
                <w:szCs w:val="24"/>
              </w:rPr>
              <w:t xml:space="preserve"> piattelli comuni, apodi, a vern. n.</w:t>
            </w:r>
          </w:p>
          <w:p w14:paraId="7E375E17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Sotto allo scheletro e agli oggetti si riconobbero tracce di legno (della cassa?)</w:t>
            </w:r>
          </w:p>
          <w:p w14:paraId="2D2194BD" w14:textId="77777777" w:rsidR="00715C43" w:rsidRPr="008040AD" w:rsidRDefault="00F550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0AD">
              <w:rPr>
                <w:rFonts w:ascii="Titillium Web" w:hAnsi="Titillium Web"/>
                <w:i/>
                <w:iCs/>
                <w:szCs w:val="24"/>
              </w:rPr>
              <w:t>Li presso si rinvennero pochi frammenti di grande vaso a figure rosse.</w:t>
            </w:r>
          </w:p>
        </w:tc>
      </w:tr>
      <w:tr w:rsidR="0086297F" w:rsidRPr="008040A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040A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40A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040A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040A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040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40A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040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0A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53DE37" w14:textId="77777777" w:rsidR="00715C43" w:rsidRPr="008040AD" w:rsidRDefault="00F55058" w:rsidP="008040AD">
            <w:pPr>
              <w:jc w:val="center"/>
              <w:rPr>
                <w:rFonts w:ascii="Titillium Web" w:hAnsi="Titillium Web"/>
                <w:szCs w:val="24"/>
              </w:rPr>
            </w:pPr>
            <w:r w:rsidRPr="008040AD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8040AD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46F7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15C43"/>
    <w:rsid w:val="008040A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2026-05-14T16:09:00Z</dcterms:modified>
</cp:coreProperties>
</file>