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E00C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E00C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E00C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E00C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E00C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0,72 m</w:t>
            </w:r>
          </w:p>
        </w:tc>
      </w:tr>
      <w:tr w:rsidR="0086297F" w:rsidRPr="00DE00C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E00C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E00C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E00C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6A6B017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Tomba 828 a umazione (avanzi legnosi</w:t>
            </w:r>
          </w:p>
          <w:p w14:paraId="03BE499C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del fondo)</w:t>
            </w:r>
          </w:p>
          <w:p w14:paraId="361AA4B0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A m. 11.10 dal B, a m. 46,40 a sud della linea di scavo, a m. 0,72 di prof.tà giaceva una tomba a umazione il di cui scheletro era orientato da nord-ovest a sud-est: gradi 320, circa.</w:t>
            </w:r>
          </w:p>
          <w:p w14:paraId="372CC490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Sopra lo scheletro erano disposti i vasi.</w:t>
            </w:r>
          </w:p>
          <w:p w14:paraId="4B7D8CDF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2A922892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2 oinochoai a forma di fiasca, con beccuccio a cartoccio, a vern. n. scadente; interi. (fram.tato alla bocca).</w:t>
            </w:r>
          </w:p>
          <w:p w14:paraId="442B2F8C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1 vasetto sferoidale, a vern. n., scadente: intero</w:t>
            </w:r>
          </w:p>
          <w:p w14:paraId="47CBE4C7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E00C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E00C9">
              <w:rPr>
                <w:rFonts w:ascii="Titillium Web" w:hAnsi="Titillium Web"/>
                <w:i/>
                <w:iCs/>
                <w:szCs w:val="24"/>
              </w:rPr>
              <w:t xml:space="preserve"> piatti per pesce, a vern. n. scadente; uno in frammenti</w:t>
            </w:r>
          </w:p>
          <w:p w14:paraId="741474BD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2 skyphoi (kotylai) a calotta emisferica, a ver. nera scadente: uno in frammenti</w:t>
            </w:r>
          </w:p>
          <w:p w14:paraId="4FCF7DAE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E00C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E00C9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apode: intere</w:t>
            </w:r>
          </w:p>
          <w:p w14:paraId="66156256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E00C9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DE00C9">
              <w:rPr>
                <w:rFonts w:ascii="Titillium Web" w:hAnsi="Titillium Web"/>
                <w:i/>
                <w:iCs/>
                <w:szCs w:val="24"/>
              </w:rPr>
              <w:t xml:space="preserve"> piattelli piccoli, con peduccio, a ver. n. scadente.</w:t>
            </w:r>
          </w:p>
          <w:p w14:paraId="5D6A6D2F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1 scodellina a vern.n. scadente.</w:t>
            </w:r>
          </w:p>
          <w:p w14:paraId="56EB8C26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1 altro scodella a v.n. scadente; intera</w:t>
            </w:r>
          </w:p>
          <w:p w14:paraId="256C731C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Nell’interno reca grafite le seguenti lettere [ndr: presente disegno dell’iscrizione]</w:t>
            </w:r>
          </w:p>
          <w:p w14:paraId="4C88C2D3" w14:textId="77777777" w:rsidR="00ED259E" w:rsidRPr="00DE00C9" w:rsidRDefault="00185E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E00C9">
              <w:rPr>
                <w:rFonts w:ascii="Titillium Web" w:hAnsi="Titillium Web"/>
                <w:i/>
                <w:iCs/>
                <w:szCs w:val="24"/>
              </w:rPr>
              <w:t>Frammenti di altre scodelle a ver. n.</w:t>
            </w:r>
          </w:p>
        </w:tc>
      </w:tr>
      <w:tr w:rsidR="0086297F" w:rsidRPr="00DE00C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DE00C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00C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00C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E00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E00C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E00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00C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A707B2" w14:textId="77777777" w:rsidR="00ED259E" w:rsidRPr="00DE00C9" w:rsidRDefault="00185E10" w:rsidP="00DE00C9">
            <w:pPr>
              <w:jc w:val="center"/>
              <w:rPr>
                <w:rFonts w:ascii="Titillium Web" w:hAnsi="Titillium Web"/>
                <w:szCs w:val="24"/>
              </w:rPr>
            </w:pPr>
            <w:r w:rsidRPr="00DE00C9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DE00C9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DE00C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E00C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F3641"/>
    <w:rsid w:val="00B165C4"/>
    <w:rsid w:val="00C21EE0"/>
    <w:rsid w:val="00D900AB"/>
    <w:rsid w:val="00D936E8"/>
    <w:rsid w:val="00DE00C9"/>
    <w:rsid w:val="00E24633"/>
    <w:rsid w:val="00ED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2026-05-14T16:06:00Z</dcterms:modified>
</cp:coreProperties>
</file>