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9F32B9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9F32B9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9F32B9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9F32B9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9F32B9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9F32B9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9F32B9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F32B9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3C0FD1D" w:rsidR="001B5504" w:rsidRPr="009F32B9" w:rsidRDefault="0020651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F32B9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9F32B9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60F29DB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83 Tomba a umazione – </w:t>
            </w:r>
          </w:p>
          <w:p w14:paraId="3EC5A680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A m 5 a lev. della precedente, a m 0,80 di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appare un gruppetto di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ascos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a figure animali </w:t>
            </w:r>
            <w:proofErr w:type="gram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– :</w:t>
            </w:r>
            <w:proofErr w:type="gramEnd"/>
          </w:p>
          <w:p w14:paraId="3F9164BA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ascos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forma di cervo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con le gambe ripiegate sotto il ventre; ha delle macchie nere sul corpo come un leopardo – sopra la testa è il bocchino fra le corna – è leggermente frammentato, ma restaurabile – è lungo cm 9.</w:t>
            </w:r>
          </w:p>
          <w:p w14:paraId="47D20072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ascos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intero e dipinto in rosso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, raffigurante un cervo; come il precedente, ha le gambe ripiegate sotto il ventre – sono staccate le corna – ma restaurabile perfettamente – alto cm 14 ½ </w:t>
            </w:r>
          </w:p>
          <w:p w14:paraId="5E67FD30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ascos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forma di toro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, leggermente frammentato nella coda e nella zampa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. posteriore, e nell’orlo del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bocchiolo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. Conserva leggere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traccie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di un colore bruno, alto cm 14</w:t>
            </w:r>
          </w:p>
          <w:p w14:paraId="56690A3B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ascos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(?) a forma di toro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, ma senza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bocchiolo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leggermente frammentato nella base e nelle zampe - I frammenti sono conservati tutti ed è restaurabile perfettamente.</w:t>
            </w:r>
          </w:p>
          <w:p w14:paraId="16BA5393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Nell’interno dell’ansa conserva le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traccie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di un colore rosso, minore di altezza – cm 13 ½ </w:t>
            </w:r>
          </w:p>
          <w:p w14:paraId="0524F597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armilla a nastro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con costola esterna di vetro bianco trasparente – diam 0,075 – (intera)</w:t>
            </w:r>
          </w:p>
          <w:p w14:paraId="75EE4465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balsamari a forma di alabastron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, interi; variegati; di pasta vitrea – lunghi cm 12 ciascuno</w:t>
            </w:r>
          </w:p>
          <w:p w14:paraId="50C2CCC7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3 balsamari di pasta vitrea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a forma di idria, di colore blu e filettati di bianco – uno mancante dell’ansa verticale, un 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lastRenderedPageBreak/>
              <w:t xml:space="preserve">secondo frammentato nel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pieduccio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(staccato) alti cm 8 ciascuno</w:t>
            </w:r>
          </w:p>
          <w:p w14:paraId="5C36D252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</w:t>
            </w:r>
            <w:proofErr w:type="gramEnd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balsamari a forma di </w:t>
            </w:r>
            <w:proofErr w:type="spellStart"/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bombilios</w:t>
            </w:r>
            <w:proofErr w:type="spellEnd"/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con due anse verticali, forniti di pomellino – decorati come i precedenti (uno in frammenti)</w:t>
            </w:r>
          </w:p>
          <w:p w14:paraId="3E2F806F" w14:textId="77777777" w:rsidR="0020651B" w:rsidRPr="009F32B9" w:rsidRDefault="0020651B" w:rsidP="0020651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frammento di bronzo informe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 xml:space="preserve"> – lungo cm 11 (lancia di ferro)</w:t>
            </w:r>
          </w:p>
          <w:p w14:paraId="1A6B7E7E" w14:textId="3F5F0AB3" w:rsidR="001B5504" w:rsidRPr="009F32B9" w:rsidRDefault="0020651B" w:rsidP="0020651B">
            <w:pPr>
              <w:jc w:val="left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Dello scheletro poche ossa completamente marcite in modo da non poter con sicurezza documentare l’orientamento.</w:t>
            </w:r>
          </w:p>
        </w:tc>
      </w:tr>
      <w:tr w:rsidR="001B5504" w:rsidRPr="009F32B9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1466669E" w14:textId="2D01B614" w:rsidR="00F61D8B" w:rsidRPr="009F32B9" w:rsidRDefault="00A03884" w:rsidP="009F32B9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Al momento dello scavo non è stato possibile risalire all’orientamento né alla precisa collocazione degli oggetti di corredo, rinvenuti presso le ossa. Attorno all’inumato sono stati recuperati quattro </w:t>
            </w:r>
            <w:r w:rsidRPr="009F32B9">
              <w:rPr>
                <w:rFonts w:ascii="Titillium Web" w:hAnsi="Titillium Web" w:cs="Times New Roman"/>
                <w:i/>
                <w:iCs/>
                <w:szCs w:val="24"/>
              </w:rPr>
              <w:t>askòi</w:t>
            </w:r>
            <w:r w:rsidRPr="009F32B9">
              <w:rPr>
                <w:rFonts w:ascii="Titillium Web" w:hAnsi="Titillium Web" w:cs="Times New Roman"/>
                <w:szCs w:val="24"/>
              </w:rPr>
              <w:t xml:space="preserve"> plastici e in ceramica depurata (nn. 1-4), un’armilla, sette balsamari in pasta vitrea (nn. 5-12) e i resti di un giavellotto in ferro (n. 13).</w:t>
            </w:r>
          </w:p>
          <w:p w14:paraId="1EA86222" w14:textId="2074A18F" w:rsidR="00F61D8B" w:rsidRPr="009F32B9" w:rsidRDefault="00D902E6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1.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Askòs plastico configurato a cervo (IG 1980; ceramica depurata)</w:t>
            </w:r>
          </w:p>
          <w:p w14:paraId="3CC96335" w14:textId="32768C41" w:rsidR="00F61D8B" w:rsidRPr="009F32B9" w:rsidRDefault="00D902E6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2.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Askòs plastico configurato a cervo (IG 1982; ceramica depurata)</w:t>
            </w:r>
          </w:p>
          <w:p w14:paraId="14EFAC38" w14:textId="488C47D0" w:rsidR="00F61D8B" w:rsidRPr="009F32B9" w:rsidRDefault="00D902E6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3.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Askòs plastico configurato a toro (IG 1983; ceramica depurata)</w:t>
            </w:r>
          </w:p>
          <w:p w14:paraId="49AE8A27" w14:textId="33715000" w:rsidR="00F61D8B" w:rsidRPr="009F32B9" w:rsidRDefault="00D902E6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4.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Askòs plastico configurato a toro (IG 1977; ceramica depurata)</w:t>
            </w:r>
          </w:p>
          <w:p w14:paraId="47F6E1A5" w14:textId="1F55E251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5.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Armilla (IG 1981; pasta vitrea)</w:t>
            </w:r>
          </w:p>
          <w:p w14:paraId="653B4ADC" w14:textId="295948CB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6.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Alabastron (IG 2007; pasta vitrea)</w:t>
            </w:r>
          </w:p>
          <w:p w14:paraId="2EB3C48C" w14:textId="4DFE523E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7.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Alabastron (IG 2008; pasta vitrea)</w:t>
            </w:r>
          </w:p>
          <w:p w14:paraId="4187F48B" w14:textId="54AF4EE6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8. </w:t>
            </w:r>
            <w:proofErr w:type="spellStart"/>
            <w:r w:rsidR="00F61D8B" w:rsidRPr="009F32B9">
              <w:rPr>
                <w:rFonts w:ascii="Titillium Web" w:hAnsi="Titillium Web" w:cs="Times New Roman"/>
                <w:szCs w:val="24"/>
              </w:rPr>
              <w:t>Hydriska</w:t>
            </w:r>
            <w:proofErr w:type="spellEnd"/>
            <w:r w:rsidR="00F61D8B" w:rsidRPr="009F32B9">
              <w:rPr>
                <w:rFonts w:ascii="Titillium Web" w:hAnsi="Titillium Web" w:cs="Times New Roman"/>
                <w:szCs w:val="24"/>
              </w:rPr>
              <w:t xml:space="preserve"> (IG 2032; pasta vitrea)</w:t>
            </w:r>
          </w:p>
          <w:p w14:paraId="17BD4F7E" w14:textId="155D6121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9. </w:t>
            </w:r>
            <w:proofErr w:type="spellStart"/>
            <w:r w:rsidR="00F61D8B" w:rsidRPr="009F32B9">
              <w:rPr>
                <w:rFonts w:ascii="Titillium Web" w:hAnsi="Titillium Web" w:cs="Times New Roman"/>
                <w:szCs w:val="24"/>
              </w:rPr>
              <w:t>Hydriska</w:t>
            </w:r>
            <w:proofErr w:type="spellEnd"/>
            <w:r w:rsidR="00F61D8B" w:rsidRPr="009F32B9">
              <w:rPr>
                <w:rFonts w:ascii="Titillium Web" w:hAnsi="Titillium Web" w:cs="Times New Roman"/>
                <w:szCs w:val="24"/>
              </w:rPr>
              <w:t xml:space="preserve"> (IG 2033; pasta vitrea)</w:t>
            </w:r>
          </w:p>
          <w:p w14:paraId="549F43D4" w14:textId="1B502CF1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10. </w:t>
            </w:r>
            <w:proofErr w:type="spellStart"/>
            <w:r w:rsidR="00F61D8B" w:rsidRPr="009F32B9">
              <w:rPr>
                <w:rFonts w:ascii="Titillium Web" w:hAnsi="Titillium Web" w:cs="Times New Roman"/>
                <w:szCs w:val="24"/>
              </w:rPr>
              <w:t>Hydriska</w:t>
            </w:r>
            <w:proofErr w:type="spellEnd"/>
            <w:r w:rsidR="00F61D8B" w:rsidRPr="009F32B9">
              <w:rPr>
                <w:rFonts w:ascii="Titillium Web" w:hAnsi="Titillium Web" w:cs="Times New Roman"/>
                <w:szCs w:val="24"/>
              </w:rPr>
              <w:t xml:space="preserve"> (IG 2035; pasta vitrea)</w:t>
            </w:r>
          </w:p>
          <w:p w14:paraId="7CF9F88C" w14:textId="591C6F18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11. </w:t>
            </w:r>
            <w:proofErr w:type="spellStart"/>
            <w:r w:rsidR="00F61D8B" w:rsidRPr="009F32B9">
              <w:rPr>
                <w:rFonts w:ascii="Titillium Web" w:hAnsi="Titillium Web" w:cs="Times New Roman"/>
                <w:szCs w:val="24"/>
              </w:rPr>
              <w:t>Amphoriskos</w:t>
            </w:r>
            <w:proofErr w:type="spellEnd"/>
            <w:r w:rsidR="00F61D8B" w:rsidRPr="009F32B9">
              <w:rPr>
                <w:rFonts w:ascii="Titillium Web" w:hAnsi="Titillium Web" w:cs="Times New Roman"/>
                <w:szCs w:val="24"/>
              </w:rPr>
              <w:t xml:space="preserve"> (IG 2036; pasta vitrea)</w:t>
            </w:r>
          </w:p>
          <w:p w14:paraId="1CC11F94" w14:textId="0473F7FD" w:rsidR="00F61D8B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12. </w:t>
            </w:r>
            <w:proofErr w:type="spellStart"/>
            <w:r w:rsidR="00F61D8B" w:rsidRPr="009F32B9">
              <w:rPr>
                <w:rFonts w:ascii="Titillium Web" w:hAnsi="Titillium Web" w:cs="Times New Roman"/>
                <w:szCs w:val="24"/>
              </w:rPr>
              <w:t>Amphoriskos</w:t>
            </w:r>
            <w:proofErr w:type="spellEnd"/>
            <w:r w:rsidR="00F61D8B" w:rsidRPr="009F32B9">
              <w:rPr>
                <w:rFonts w:ascii="Titillium Web" w:hAnsi="Titillium Web" w:cs="Times New Roman"/>
                <w:szCs w:val="24"/>
              </w:rPr>
              <w:t xml:space="preserve"> (IG 2034; pasta vitrea)</w:t>
            </w:r>
          </w:p>
          <w:p w14:paraId="5EE32F9C" w14:textId="6B99559B" w:rsidR="001B5504" w:rsidRPr="009F32B9" w:rsidRDefault="00B724FE" w:rsidP="009F32B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F32B9">
              <w:rPr>
                <w:rFonts w:ascii="Titillium Web" w:hAnsi="Titillium Web" w:cs="Times New Roman"/>
                <w:szCs w:val="24"/>
              </w:rPr>
              <w:t xml:space="preserve">13. </w:t>
            </w:r>
            <w:r w:rsidR="00F61D8B" w:rsidRPr="009F32B9">
              <w:rPr>
                <w:rFonts w:ascii="Titillium Web" w:hAnsi="Titillium Web" w:cs="Times New Roman"/>
                <w:szCs w:val="24"/>
              </w:rPr>
              <w:t>Punta di giavellotto di produzione incerta (IG 1973; ferro)</w:t>
            </w:r>
          </w:p>
        </w:tc>
      </w:tr>
      <w:tr w:rsidR="001B5504" w:rsidRPr="009F32B9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E872E31" w:rsidR="001B5504" w:rsidRPr="009F32B9" w:rsidRDefault="00D902E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F32B9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49180AA" w:rsidR="001B5504" w:rsidRPr="009F32B9" w:rsidRDefault="009F32B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F32B9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F32B9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1B5504" w:rsidRPr="009F32B9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F32B9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1B5504" w:rsidRPr="009F32B9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zCs w:val="24"/>
              </w:rPr>
              <w:t>Fine IV-inizi III sec. a.C.</w:t>
            </w:r>
          </w:p>
        </w:tc>
      </w:tr>
      <w:tr w:rsidR="001B5504" w:rsidRPr="009F32B9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D5D0A50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Guzzo</w:t>
            </w:r>
            <w:r w:rsidRPr="009F32B9">
              <w:rPr>
                <w:rFonts w:ascii="Titillium Web" w:hAnsi="Titillium Web"/>
                <w:szCs w:val="24"/>
              </w:rPr>
              <w:t xml:space="preserve"> 1993, pp. 224-226, nota 27; </w:t>
            </w:r>
            <w:r w:rsidRPr="009F32B9">
              <w:rPr>
                <w:rFonts w:ascii="Titillium Web" w:hAnsi="Titillium Web"/>
                <w:smallCaps/>
                <w:szCs w:val="24"/>
              </w:rPr>
              <w:t>Malnati</w:t>
            </w:r>
            <w:r w:rsidRPr="009F32B9">
              <w:rPr>
                <w:rFonts w:ascii="Titillium Web" w:hAnsi="Titillium Web"/>
                <w:szCs w:val="24"/>
              </w:rPr>
              <w:t xml:space="preserve"> 1993, p. 162, figg. 139, 162</w:t>
            </w:r>
            <w:r w:rsidR="00B724FE" w:rsidRPr="009F32B9">
              <w:rPr>
                <w:rFonts w:ascii="Titillium Web" w:hAnsi="Titillium Web"/>
                <w:szCs w:val="24"/>
              </w:rPr>
              <w:t xml:space="preserve">; </w:t>
            </w:r>
            <w:r w:rsidRPr="009F32B9">
              <w:rPr>
                <w:rFonts w:ascii="Titillium Web" w:hAnsi="Titillium Web"/>
                <w:smallCaps/>
                <w:szCs w:val="24"/>
              </w:rPr>
              <w:t>Sassatelli</w:t>
            </w:r>
            <w:r w:rsidRPr="009F32B9">
              <w:rPr>
                <w:rFonts w:ascii="Titillium Web" w:hAnsi="Titillium Web"/>
                <w:szCs w:val="24"/>
              </w:rPr>
              <w:t xml:space="preserve"> 1993, pp. 196, 207, figg. 162, 173-176; </w:t>
            </w:r>
            <w:r w:rsidRPr="009F32B9">
              <w:rPr>
                <w:rFonts w:ascii="Titillium Web" w:hAnsi="Titillium Web"/>
                <w:smallCaps/>
                <w:szCs w:val="24"/>
              </w:rPr>
              <w:t>Cornelio Cassai 1993c</w:t>
            </w:r>
            <w:r w:rsidRPr="009F32B9">
              <w:rPr>
                <w:rFonts w:ascii="Titillium Web" w:hAnsi="Titillium Web"/>
                <w:szCs w:val="24"/>
              </w:rPr>
              <w:t xml:space="preserve">, pp. 325-326; </w:t>
            </w:r>
            <w:r w:rsidRPr="009F32B9">
              <w:rPr>
                <w:rFonts w:ascii="Titillium Web" w:hAnsi="Titillium Web"/>
                <w:smallCaps/>
                <w:szCs w:val="24"/>
              </w:rPr>
              <w:t>Muggia</w:t>
            </w:r>
            <w:r w:rsidRPr="009F32B9">
              <w:rPr>
                <w:rFonts w:ascii="Titillium Web" w:hAnsi="Titillium Web"/>
                <w:szCs w:val="24"/>
              </w:rPr>
              <w:t xml:space="preserve"> 2004a, p. 57; </w:t>
            </w:r>
            <w:r w:rsidRPr="009F32B9">
              <w:rPr>
                <w:rFonts w:ascii="Titillium Web" w:hAnsi="Titillium Web"/>
                <w:smallCaps/>
                <w:szCs w:val="24"/>
              </w:rPr>
              <w:t>Serra</w:t>
            </w:r>
            <w:r w:rsidRPr="009F32B9">
              <w:rPr>
                <w:rFonts w:ascii="Titillium Web" w:hAnsi="Titillium Web"/>
                <w:szCs w:val="24"/>
              </w:rPr>
              <w:t xml:space="preserve"> 2025, pp. 124, 152, 163, 165, 200.</w:t>
            </w:r>
          </w:p>
        </w:tc>
      </w:tr>
      <w:tr w:rsidR="001B5504" w:rsidRPr="009F32B9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9F32B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F32B9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9F32B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0651B"/>
    <w:rsid w:val="0029024B"/>
    <w:rsid w:val="002977D7"/>
    <w:rsid w:val="002F1500"/>
    <w:rsid w:val="00472AF4"/>
    <w:rsid w:val="005B5AFF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7946"/>
    <w:rsid w:val="009E4922"/>
    <w:rsid w:val="009F32B9"/>
    <w:rsid w:val="00A03884"/>
    <w:rsid w:val="00A52A70"/>
    <w:rsid w:val="00B165C4"/>
    <w:rsid w:val="00B724FE"/>
    <w:rsid w:val="00B86B2D"/>
    <w:rsid w:val="00BE2CB2"/>
    <w:rsid w:val="00BE63CC"/>
    <w:rsid w:val="00BF212E"/>
    <w:rsid w:val="00C21EE0"/>
    <w:rsid w:val="00C30F5C"/>
    <w:rsid w:val="00CC46E5"/>
    <w:rsid w:val="00D54723"/>
    <w:rsid w:val="00D902E6"/>
    <w:rsid w:val="00DB1668"/>
    <w:rsid w:val="00E0524C"/>
    <w:rsid w:val="00F6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2026-05-17T08:32:00Z</dcterms:modified>
</cp:coreProperties>
</file>