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50E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C50E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Resti non rinvenuti</w:t>
            </w:r>
          </w:p>
        </w:tc>
      </w:tr>
      <w:tr w:rsidR="0086297F" w:rsidRPr="00DC50E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Non definibile</w:t>
            </w:r>
          </w:p>
        </w:tc>
      </w:tr>
      <w:tr w:rsidR="0086297F" w:rsidRPr="00DC50E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DC50E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DC50E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50E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DC50E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50E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603F5D1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Tomba 830? (ne scheletro ne ossa combuste)</w:t>
            </w:r>
          </w:p>
          <w:p w14:paraId="50FA2173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A m. 87,50 dal B, a m. 11,40 a nord della linea di scavo, a m. 1,00 di prof.tà, si rinviene un mucchietto di pochi vasettini, senza scheletro e senza ossa combuste.</w:t>
            </w:r>
          </w:p>
          <w:p w14:paraId="26E22BDE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Si raccolsero i seguenti fittili:</w:t>
            </w:r>
          </w:p>
          <w:p w14:paraId="4DB9BD7D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1 oinochoe piccolo a forma ovoidale, con bocca circolare e con disegni di figure e di spirali a tinta bruna. Ha l’ansa staccata.</w:t>
            </w:r>
          </w:p>
          <w:p w14:paraId="69A73614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2 balsamari tipo alabastron, fittili, di argilla giallastra, interi e grezzi.</w:t>
            </w:r>
          </w:p>
          <w:p w14:paraId="4ED29D05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1 kotylos imbutiforme a vern. n. scadente, intero</w:t>
            </w:r>
          </w:p>
          <w:p w14:paraId="00DE970C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2 piccoli aryballoi con bocca circolare, uno con palmette e l’altro con linee nere incrociantesi sul corpo.</w:t>
            </w:r>
          </w:p>
          <w:p w14:paraId="76554CBF" w14:textId="77777777" w:rsidR="002E017D" w:rsidRPr="00DC50E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50E0">
              <w:rPr>
                <w:rFonts w:ascii="Titillium Web" w:hAnsi="Titillium Web"/>
                <w:i/>
                <w:iCs/>
                <w:szCs w:val="24"/>
              </w:rPr>
              <w:t>1 ascox o lucerna, discoidale e grande, con disegni di teste femminili, a ver. n..</w:t>
            </w:r>
          </w:p>
        </w:tc>
      </w:tr>
      <w:tr w:rsidR="0086297F" w:rsidRPr="00DC50E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Oggetti in gruppo privi di tracce del defunto</w:t>
            </w:r>
          </w:p>
        </w:tc>
      </w:tr>
      <w:tr w:rsidR="0086297F" w:rsidRPr="00DC50E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50E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50E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50E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DC50E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50E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50E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6E2DBB" w14:textId="77777777" w:rsidR="002E017D" w:rsidRPr="00DC50E0" w:rsidRDefault="00000000" w:rsidP="00DC50E0">
            <w:pPr>
              <w:jc w:val="center"/>
              <w:rPr>
                <w:rFonts w:ascii="Titillium Web" w:hAnsi="Titillium Web"/>
                <w:szCs w:val="24"/>
              </w:rPr>
            </w:pPr>
            <w:r w:rsidRPr="00DC50E0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DC50E0">
              <w:rPr>
                <w:rFonts w:ascii="Titillium Web" w:eastAsia="Titillium" w:hAnsi="Titillium Web" w:cs="Titillium"/>
                <w:szCs w:val="24"/>
              </w:rPr>
              <w:t xml:space="preserve"> 1978, pp. 81-83; </w:t>
            </w:r>
            <w:r w:rsidRPr="00DC50E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DC50E0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DC50E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DC50E0">
              <w:rPr>
                <w:rFonts w:ascii="Titillium Web" w:eastAsia="Titillium" w:hAnsi="Titillium Web" w:cs="Titillium"/>
                <w:szCs w:val="24"/>
              </w:rPr>
              <w:t xml:space="preserve"> 2025, p. 246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017D"/>
    <w:rsid w:val="00440622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C50E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2026-05-14T16:05:00Z</dcterms:modified>
</cp:coreProperties>
</file>