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858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C1B4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C1B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B4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C1B4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C1B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B4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C1B4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C1B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B4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C1B4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C1B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B4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C1B4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C1B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B40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4C1B4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C1B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B4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C1B4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C1B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B4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C1B4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C1B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B4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C1B4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4607B5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Tomba 858 a cremazione</w:t>
            </w:r>
          </w:p>
          <w:p w14:paraId="52A26BF1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(fotografia da sud e da est)</w:t>
            </w:r>
          </w:p>
          <w:p w14:paraId="3C13D770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A m. 45,80 dal B, a m. 218,25 dal D.B., a m. 0,80d prof.tà poggiava una tomba a cremazione.</w:t>
            </w:r>
          </w:p>
          <w:p w14:paraId="603CCA30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A des. distribuite come su di un’arco, è il maggior numero di vasellame, e a lev. di esso (vedi fotog.) è una grande anfora pontuta, vinaria, piantata verticalmente (è frammentata nel fondo a punta) e</w:t>
            </w:r>
          </w:p>
          <w:p w14:paraId="17257FDD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1 vaso di forma panciuta e schiacciata, con bocca circolare e due anse abbinate: intero</w:t>
            </w:r>
          </w:p>
          <w:p w14:paraId="14A6EE65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Fra questi due vasi si trova un dolietto di argilla bruno rossastra, marcito e apertosi, dal quale sono uscite le ossa combuste. (vedi fotografia)</w:t>
            </w:r>
          </w:p>
          <w:p w14:paraId="63145981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A pon. dei vasi disposti ad arco, si raccolsero:</w:t>
            </w:r>
          </w:p>
          <w:p w14:paraId="1EBA8846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frammenti di ferro di un’oggetto posto verticalmente (si estrasse a pezzi) che sembrerebbe di un candelabro</w:t>
            </w:r>
          </w:p>
          <w:p w14:paraId="750ABA2C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Nel mucchio dei vasi si raccolse:</w:t>
            </w:r>
          </w:p>
          <w:p w14:paraId="37951489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C1B4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C1B40">
              <w:rPr>
                <w:rFonts w:ascii="Titillium Web" w:hAnsi="Titillium Web"/>
                <w:i/>
                <w:iCs/>
                <w:szCs w:val="24"/>
              </w:rPr>
              <w:t xml:space="preserve"> vasetti a forma di bicchiere, con peduccio e con anse a doppia fune annodata: sono entrambi in fram.ti.</w:t>
            </w:r>
          </w:p>
          <w:p w14:paraId="6D418AA2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C1B4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C1B40">
              <w:rPr>
                <w:rFonts w:ascii="Titillium Web" w:hAnsi="Titillium Web"/>
                <w:i/>
                <w:iCs/>
                <w:szCs w:val="24"/>
              </w:rPr>
              <w:t xml:space="preserve"> patere (phyales) ombellicate, a vern. nera, entrambe schiacciate dal peso della terra e in minuti fram.ti.</w:t>
            </w:r>
          </w:p>
          <w:p w14:paraId="067051E8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1 colatoio fittile, a vern. nera, con il centro bucherellato; è in minuti frammenti.</w:t>
            </w:r>
          </w:p>
          <w:p w14:paraId="1E02D7DF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1 lucerna a forma di ciambella, a vern. n. intera -</w:t>
            </w:r>
          </w:p>
          <w:p w14:paraId="6E204E64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C1B40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4C1B40">
              <w:rPr>
                <w:rFonts w:ascii="Titillium Web" w:hAnsi="Titillium Web"/>
                <w:i/>
                <w:iCs/>
                <w:szCs w:val="24"/>
              </w:rPr>
              <w:t xml:space="preserve"> grandi kotylai di forma emisferica, a ver. n. scadente in frammenti.: entrambi erano coperti da:</w:t>
            </w:r>
          </w:p>
          <w:p w14:paraId="686C3DFF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C1B4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C1B40">
              <w:rPr>
                <w:rFonts w:ascii="Titillium Web" w:hAnsi="Titillium Web"/>
                <w:i/>
                <w:iCs/>
                <w:szCs w:val="24"/>
              </w:rPr>
              <w:t xml:space="preserve"> piatti grandi per pesce, a vern. n. interi</w:t>
            </w:r>
          </w:p>
          <w:p w14:paraId="1B936097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2 oinochoai a forma di fiasca, con bocca trilobata, a vern. n. scadente, con peduccio: interi</w:t>
            </w:r>
          </w:p>
          <w:p w14:paraId="7FED4B7B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1 oinochoe a forma di fiaschetta, a vern. n. scadente</w:t>
            </w:r>
          </w:p>
          <w:p w14:paraId="4D75AA97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con l’ansa verticale frammentata.</w:t>
            </w:r>
          </w:p>
          <w:p w14:paraId="361E34E7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1 lekane (tazza e coperchio con pomello): il coperchio è decorato di palmette male disegnate, a tinta bruna e penellate nell’orlo della tazza: è intera.</w:t>
            </w:r>
          </w:p>
          <w:p w14:paraId="3FE057C9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Entro la lekane erano le ossa di pollo.</w:t>
            </w:r>
          </w:p>
          <w:p w14:paraId="1C949A01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1 grande piatto per pesce, eguale ai precedenti, intero</w:t>
            </w:r>
          </w:p>
          <w:p w14:paraId="0BE4E5FE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1 piccolo piattello con pieduccio, a ver. n., intero</w:t>
            </w:r>
          </w:p>
          <w:p w14:paraId="6757FBA4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C1B40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4C1B40">
              <w:rPr>
                <w:rFonts w:ascii="Titillium Web" w:hAnsi="Titillium Web"/>
                <w:i/>
                <w:iCs/>
                <w:szCs w:val="24"/>
              </w:rPr>
              <w:t xml:space="preserve"> grandi scodelle a vern. n. (2 intere, liscie: una fram.tata)</w:t>
            </w:r>
          </w:p>
          <w:p w14:paraId="355DAF86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C1B4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C1B40">
              <w:rPr>
                <w:rFonts w:ascii="Titillium Web" w:hAnsi="Titillium Web"/>
                <w:i/>
                <w:iCs/>
                <w:szCs w:val="24"/>
              </w:rPr>
              <w:t xml:space="preserve"> piccole scodelle, idem, (una intera).</w:t>
            </w:r>
          </w:p>
          <w:p w14:paraId="66238590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C1B40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4C1B40">
              <w:rPr>
                <w:rFonts w:ascii="Titillium Web" w:hAnsi="Titillium Web"/>
                <w:i/>
                <w:iCs/>
                <w:szCs w:val="24"/>
              </w:rPr>
              <w:t xml:space="preserve"> piccoli vasettini a vern. n. con ansa ad anello tre dei quali hanno l’ansa che termina in un serpentello a rilievo, sopra la pancia del vaso (due hanno l’ansa staccata).</w:t>
            </w:r>
          </w:p>
          <w:p w14:paraId="7BC7D600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1 scodellina apoda, a vern. n., intera</w:t>
            </w:r>
          </w:p>
          <w:p w14:paraId="3C69C565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1 scodella piccola, apoda, a vern. n. scadente</w:t>
            </w:r>
          </w:p>
          <w:p w14:paraId="40C69639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10 piattellini a vern. n. scadente, con pieduccio, interi.</w:t>
            </w:r>
          </w:p>
          <w:p w14:paraId="1D7DDD14" w14:textId="77777777" w:rsidR="002D5FEF" w:rsidRPr="004C1B40" w:rsidRDefault="003907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B40">
              <w:rPr>
                <w:rFonts w:ascii="Titillium Web" w:hAnsi="Titillium Web"/>
                <w:i/>
                <w:iCs/>
                <w:szCs w:val="24"/>
              </w:rPr>
              <w:t>Non si riscontrò alcuna traccia di legno della cassa.</w:t>
            </w:r>
          </w:p>
        </w:tc>
      </w:tr>
      <w:tr w:rsidR="0086297F" w:rsidRPr="004C1B4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C1B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B40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4C1B4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C1B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B4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C1B4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C1B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B4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C1B4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C1B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B4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C1B4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C1B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B4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0970FFA" w14:textId="77777777" w:rsidR="002D5FEF" w:rsidRPr="004C1B40" w:rsidRDefault="003907A6" w:rsidP="004C1B40">
            <w:pPr>
              <w:jc w:val="center"/>
              <w:rPr>
                <w:rFonts w:ascii="Titillium Web" w:hAnsi="Titillium Web"/>
                <w:szCs w:val="24"/>
              </w:rPr>
            </w:pPr>
            <w:r w:rsidRPr="004C1B40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4C1B40">
              <w:rPr>
                <w:rFonts w:ascii="Titillium Web" w:eastAsia="Titillium" w:hAnsi="Titillium Web" w:cs="Titillium"/>
                <w:szCs w:val="24"/>
              </w:rPr>
              <w:t xml:space="preserve"> 1983, p. 59; </w:t>
            </w:r>
            <w:r w:rsidRPr="004C1B40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4C1B40">
              <w:rPr>
                <w:rFonts w:ascii="Titillium Web" w:eastAsia="Titillium" w:hAnsi="Titillium Web" w:cs="Titillium"/>
                <w:szCs w:val="24"/>
              </w:rPr>
              <w:t xml:space="preserve"> 1985, pp. 192-199; </w:t>
            </w:r>
            <w:r w:rsidRPr="004C1B4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C1B4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51E68"/>
    <w:rsid w:val="002977D7"/>
    <w:rsid w:val="002D5FEF"/>
    <w:rsid w:val="00472AF4"/>
    <w:rsid w:val="004C1B40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2026-05-14T15:26:00Z</dcterms:modified>
</cp:coreProperties>
</file>