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F8408" w14:textId="0B5C78B4" w:rsidR="00472AF4" w:rsidRPr="00C30F5C" w:rsidRDefault="00014214" w:rsidP="001B5504">
      <w:pPr>
        <w:jc w:val="center"/>
        <w:rPr>
          <w:rFonts w:ascii="Titillium Web" w:hAnsi="Titillium Web"/>
          <w:b/>
          <w:bCs/>
          <w:sz w:val="28"/>
          <w:szCs w:val="24"/>
        </w:rPr>
      </w:pPr>
      <w:r w:rsidRPr="00C30F5C">
        <w:rPr>
          <w:rFonts w:ascii="Titillium Web" w:hAnsi="Titillium Web"/>
          <w:b/>
          <w:bCs/>
          <w:sz w:val="28"/>
          <w:szCs w:val="24"/>
        </w:rPr>
        <w:t>Valle Trebba – Tomba 86</w:t>
      </w:r>
    </w:p>
    <w:tbl>
      <w:tblPr>
        <w:tblStyle w:val="Grigliatabella"/>
        <w:tblW w:w="5000" w:type="pct"/>
        <w:jc w:val="center"/>
        <w:tblLook w:val="04A0" w:firstRow="1" w:lastRow="0" w:firstColumn="1" w:lastColumn="0" w:noHBand="0" w:noVBand="1"/>
      </w:tblPr>
      <w:tblGrid>
        <w:gridCol w:w="2990"/>
        <w:gridCol w:w="6070"/>
      </w:tblGrid>
      <w:tr w:rsidR="001B5504" w:rsidRPr="00A202B1" w14:paraId="7E897B51" w14:textId="77777777" w:rsidTr="001B5504">
        <w:trPr>
          <w:jc w:val="center"/>
        </w:trPr>
        <w:tc>
          <w:tcPr>
            <w:tcW w:w="1650" w:type="pct"/>
            <w:vAlign w:val="center"/>
          </w:tcPr>
          <w:p w14:paraId="42CC7784" w14:textId="77777777" w:rsidR="001B5504" w:rsidRPr="00A202B1" w:rsidRDefault="001B5504" w:rsidP="00BF212E">
            <w:pPr>
              <w:jc w:val="center"/>
              <w:rPr>
                <w:rFonts w:ascii="Titillium Web" w:hAnsi="Titillium Web"/>
                <w:smallCaps/>
                <w:szCs w:val="24"/>
              </w:rPr>
            </w:pPr>
            <w:r w:rsidRPr="00A202B1">
              <w:rPr>
                <w:rFonts w:ascii="Titillium Web" w:hAnsi="Titillium Web"/>
                <w:smallCaps/>
                <w:szCs w:val="24"/>
              </w:rPr>
              <w:t>Anno di rinvenimento</w:t>
            </w:r>
          </w:p>
        </w:tc>
        <w:tc>
          <w:tcPr>
            <w:tcW w:w="3350" w:type="pct"/>
            <w:vAlign w:val="center"/>
          </w:tcPr>
          <w:p w14:paraId="3911E4F6" w14:textId="6BFD1686" w:rsidR="001B5504" w:rsidRPr="00A202B1" w:rsidRDefault="001B5504" w:rsidP="00BF212E">
            <w:pPr>
              <w:jc w:val="center"/>
              <w:rPr>
                <w:rFonts w:ascii="Titillium Web" w:hAnsi="Titillium Web"/>
                <w:szCs w:val="24"/>
              </w:rPr>
            </w:pPr>
            <w:r w:rsidRPr="00A202B1">
              <w:rPr>
                <w:rFonts w:ascii="Titillium Web" w:hAnsi="Titillium Web"/>
                <w:szCs w:val="24"/>
              </w:rPr>
              <w:t>1923</w:t>
            </w:r>
          </w:p>
        </w:tc>
      </w:tr>
      <w:tr w:rsidR="001B5504" w:rsidRPr="00A202B1" w14:paraId="4120B077" w14:textId="77777777" w:rsidTr="001B5504">
        <w:trPr>
          <w:jc w:val="center"/>
        </w:trPr>
        <w:tc>
          <w:tcPr>
            <w:tcW w:w="1650" w:type="pct"/>
            <w:vAlign w:val="center"/>
          </w:tcPr>
          <w:p w14:paraId="7B4CDD57" w14:textId="77777777" w:rsidR="001B5504" w:rsidRPr="00A202B1" w:rsidRDefault="001B5504" w:rsidP="00BF212E">
            <w:pPr>
              <w:jc w:val="center"/>
              <w:rPr>
                <w:rFonts w:ascii="Titillium Web" w:hAnsi="Titillium Web"/>
                <w:smallCaps/>
                <w:szCs w:val="24"/>
              </w:rPr>
            </w:pPr>
            <w:r w:rsidRPr="00A202B1">
              <w:rPr>
                <w:rFonts w:ascii="Titillium Web" w:hAnsi="Titillium Web"/>
                <w:smallCaps/>
                <w:szCs w:val="24"/>
              </w:rPr>
              <w:t>Stato di conservazione della tomba</w:t>
            </w:r>
          </w:p>
        </w:tc>
        <w:tc>
          <w:tcPr>
            <w:tcW w:w="3350" w:type="pct"/>
            <w:vAlign w:val="center"/>
          </w:tcPr>
          <w:p w14:paraId="4ED449D1" w14:textId="67560E4F" w:rsidR="001B5504" w:rsidRPr="00A202B1" w:rsidRDefault="001B5504" w:rsidP="00BF212E">
            <w:pPr>
              <w:jc w:val="center"/>
              <w:rPr>
                <w:rFonts w:ascii="Titillium Web" w:hAnsi="Titillium Web"/>
                <w:szCs w:val="24"/>
              </w:rPr>
            </w:pPr>
            <w:r w:rsidRPr="00A202B1">
              <w:rPr>
                <w:rFonts w:ascii="Titillium Web" w:hAnsi="Titillium Web"/>
                <w:szCs w:val="24"/>
              </w:rPr>
              <w:t>Intatta</w:t>
            </w:r>
          </w:p>
        </w:tc>
      </w:tr>
      <w:tr w:rsidR="001B5504" w:rsidRPr="00A202B1" w14:paraId="7A448E9D" w14:textId="77777777" w:rsidTr="001B5504">
        <w:trPr>
          <w:jc w:val="center"/>
        </w:trPr>
        <w:tc>
          <w:tcPr>
            <w:tcW w:w="1650" w:type="pct"/>
            <w:vAlign w:val="center"/>
          </w:tcPr>
          <w:p w14:paraId="1E1EA165" w14:textId="77777777" w:rsidR="001B5504" w:rsidRPr="00A202B1" w:rsidRDefault="001B5504" w:rsidP="00BF212E">
            <w:pPr>
              <w:jc w:val="center"/>
              <w:rPr>
                <w:rFonts w:ascii="Titillium Web" w:hAnsi="Titillium Web"/>
                <w:smallCaps/>
                <w:szCs w:val="24"/>
              </w:rPr>
            </w:pPr>
            <w:r w:rsidRPr="00A202B1">
              <w:rPr>
                <w:rFonts w:ascii="Titillium Web" w:hAnsi="Titillium Web"/>
                <w:smallCaps/>
                <w:szCs w:val="24"/>
              </w:rPr>
              <w:t>Rito di seppellimento</w:t>
            </w:r>
          </w:p>
        </w:tc>
        <w:tc>
          <w:tcPr>
            <w:tcW w:w="3350" w:type="pct"/>
            <w:vAlign w:val="center"/>
          </w:tcPr>
          <w:p w14:paraId="18226334" w14:textId="6B6FE1CF" w:rsidR="001B5504" w:rsidRPr="00A202B1" w:rsidRDefault="001B5504" w:rsidP="00BF212E">
            <w:pPr>
              <w:jc w:val="center"/>
              <w:rPr>
                <w:rFonts w:ascii="Titillium Web" w:hAnsi="Titillium Web"/>
                <w:szCs w:val="24"/>
              </w:rPr>
            </w:pPr>
            <w:r w:rsidRPr="00A202B1">
              <w:rPr>
                <w:rFonts w:ascii="Titillium Web" w:hAnsi="Titillium Web"/>
                <w:szCs w:val="24"/>
              </w:rPr>
              <w:t>Cremazione</w:t>
            </w:r>
          </w:p>
        </w:tc>
      </w:tr>
      <w:tr w:rsidR="001B5504" w:rsidRPr="00A202B1" w14:paraId="31276AA4" w14:textId="77777777" w:rsidTr="001B5504">
        <w:trPr>
          <w:jc w:val="center"/>
        </w:trPr>
        <w:tc>
          <w:tcPr>
            <w:tcW w:w="1650" w:type="pct"/>
            <w:vAlign w:val="center"/>
          </w:tcPr>
          <w:p w14:paraId="33201D3D" w14:textId="77777777" w:rsidR="001B5504" w:rsidRPr="00A202B1" w:rsidRDefault="001B5504" w:rsidP="00BF212E">
            <w:pPr>
              <w:jc w:val="center"/>
              <w:rPr>
                <w:rFonts w:ascii="Titillium Web" w:hAnsi="Titillium Web"/>
                <w:smallCaps/>
                <w:szCs w:val="24"/>
              </w:rPr>
            </w:pPr>
            <w:r w:rsidRPr="00A202B1">
              <w:rPr>
                <w:rFonts w:ascii="Titillium Web" w:hAnsi="Titillium Web"/>
                <w:smallCaps/>
                <w:szCs w:val="24"/>
              </w:rPr>
              <w:t>Struttura tomba</w:t>
            </w:r>
          </w:p>
        </w:tc>
        <w:tc>
          <w:tcPr>
            <w:tcW w:w="3350" w:type="pct"/>
            <w:vAlign w:val="center"/>
          </w:tcPr>
          <w:p w14:paraId="720E7EE7" w14:textId="3E36BEBB" w:rsidR="001B5504" w:rsidRPr="00A202B1" w:rsidRDefault="001B5504" w:rsidP="00BF212E">
            <w:pPr>
              <w:jc w:val="center"/>
              <w:rPr>
                <w:rFonts w:ascii="Titillium Web" w:hAnsi="Titillium Web"/>
                <w:szCs w:val="24"/>
              </w:rPr>
            </w:pPr>
            <w:r w:rsidRPr="00A202B1">
              <w:rPr>
                <w:rFonts w:ascii="Titillium Web" w:hAnsi="Titillium Web"/>
                <w:szCs w:val="24"/>
              </w:rPr>
              <w:t>Pozzetto semplice</w:t>
            </w:r>
          </w:p>
        </w:tc>
      </w:tr>
      <w:tr w:rsidR="001B5504" w:rsidRPr="00A202B1" w14:paraId="07337DA2" w14:textId="77777777" w:rsidTr="001B5504">
        <w:trPr>
          <w:jc w:val="center"/>
        </w:trPr>
        <w:tc>
          <w:tcPr>
            <w:tcW w:w="1650" w:type="pct"/>
            <w:vAlign w:val="center"/>
          </w:tcPr>
          <w:p w14:paraId="5032DFD5" w14:textId="77777777" w:rsidR="001B5504" w:rsidRPr="00A202B1" w:rsidRDefault="001B5504" w:rsidP="00BF212E">
            <w:pPr>
              <w:jc w:val="center"/>
              <w:rPr>
                <w:rFonts w:ascii="Titillium Web" w:hAnsi="Titillium Web"/>
                <w:smallCaps/>
                <w:szCs w:val="24"/>
              </w:rPr>
            </w:pPr>
            <w:r w:rsidRPr="00A202B1">
              <w:rPr>
                <w:rFonts w:ascii="Titillium Web" w:hAnsi="Titillium Web"/>
                <w:smallCaps/>
                <w:szCs w:val="24"/>
              </w:rPr>
              <w:t>Profondità dal piano di campagna</w:t>
            </w:r>
          </w:p>
        </w:tc>
        <w:tc>
          <w:tcPr>
            <w:tcW w:w="3350" w:type="pct"/>
            <w:vAlign w:val="center"/>
          </w:tcPr>
          <w:p w14:paraId="4AC1C871" w14:textId="553FE193" w:rsidR="001B5504" w:rsidRPr="00A202B1" w:rsidRDefault="001B5504" w:rsidP="00BF212E">
            <w:pPr>
              <w:jc w:val="center"/>
              <w:rPr>
                <w:rFonts w:ascii="Titillium Web" w:hAnsi="Titillium Web"/>
                <w:szCs w:val="24"/>
              </w:rPr>
            </w:pPr>
            <w:r w:rsidRPr="00A202B1">
              <w:rPr>
                <w:rFonts w:ascii="Titillium Web" w:hAnsi="Titillium Web"/>
                <w:szCs w:val="24"/>
              </w:rPr>
              <w:t>0,80 m</w:t>
            </w:r>
          </w:p>
        </w:tc>
      </w:tr>
      <w:tr w:rsidR="001B5504" w:rsidRPr="00A202B1" w14:paraId="16F9D287" w14:textId="77777777" w:rsidTr="001B5504">
        <w:trPr>
          <w:jc w:val="center"/>
        </w:trPr>
        <w:tc>
          <w:tcPr>
            <w:tcW w:w="1650" w:type="pct"/>
            <w:vAlign w:val="center"/>
          </w:tcPr>
          <w:p w14:paraId="5D675683" w14:textId="77777777" w:rsidR="001B5504" w:rsidRPr="00A202B1" w:rsidRDefault="001B5504" w:rsidP="00BF212E">
            <w:pPr>
              <w:jc w:val="center"/>
              <w:rPr>
                <w:rFonts w:ascii="Titillium Web" w:hAnsi="Titillium Web"/>
                <w:smallCaps/>
                <w:szCs w:val="24"/>
              </w:rPr>
            </w:pPr>
            <w:r w:rsidRPr="00A202B1">
              <w:rPr>
                <w:rFonts w:ascii="Titillium Web" w:hAnsi="Titillium Web"/>
                <w:smallCaps/>
                <w:szCs w:val="24"/>
              </w:rPr>
              <w:t>Dimensioni della sepoltura</w:t>
            </w:r>
          </w:p>
        </w:tc>
        <w:tc>
          <w:tcPr>
            <w:tcW w:w="3350" w:type="pct"/>
            <w:vAlign w:val="center"/>
          </w:tcPr>
          <w:p w14:paraId="606ED54D" w14:textId="0EBDB5D9" w:rsidR="001B5504" w:rsidRPr="00A202B1" w:rsidRDefault="001B5504" w:rsidP="00BF212E">
            <w:pPr>
              <w:jc w:val="center"/>
              <w:rPr>
                <w:rFonts w:ascii="Titillium Web" w:hAnsi="Titillium Web"/>
                <w:szCs w:val="24"/>
              </w:rPr>
            </w:pPr>
            <w:r w:rsidRPr="00A202B1">
              <w:rPr>
                <w:rFonts w:ascii="Titillium Web" w:hAnsi="Titillium Web"/>
                <w:szCs w:val="24"/>
              </w:rPr>
              <w:t>Dimensioni non registrate</w:t>
            </w:r>
          </w:p>
        </w:tc>
      </w:tr>
      <w:tr w:rsidR="001B5504" w:rsidRPr="00A202B1" w14:paraId="3DCDE8C5" w14:textId="77777777" w:rsidTr="001B5504">
        <w:trPr>
          <w:jc w:val="center"/>
        </w:trPr>
        <w:tc>
          <w:tcPr>
            <w:tcW w:w="1650" w:type="pct"/>
            <w:vAlign w:val="center"/>
          </w:tcPr>
          <w:p w14:paraId="090E3992" w14:textId="77777777" w:rsidR="001B5504" w:rsidRPr="00A202B1" w:rsidRDefault="001B5504" w:rsidP="00BF212E">
            <w:pPr>
              <w:jc w:val="center"/>
              <w:rPr>
                <w:rFonts w:ascii="Titillium Web" w:hAnsi="Titillium Web"/>
                <w:smallCaps/>
                <w:szCs w:val="24"/>
              </w:rPr>
            </w:pPr>
            <w:r w:rsidRPr="00A202B1">
              <w:rPr>
                <w:rFonts w:ascii="Titillium Web" w:hAnsi="Titillium Web"/>
                <w:smallCaps/>
                <w:szCs w:val="24"/>
              </w:rPr>
              <w:t>Orientamento dello scheletro</w:t>
            </w:r>
          </w:p>
        </w:tc>
        <w:tc>
          <w:tcPr>
            <w:tcW w:w="3350" w:type="pct"/>
            <w:vAlign w:val="center"/>
          </w:tcPr>
          <w:p w14:paraId="01C3562F" w14:textId="22C0A7C8" w:rsidR="001B5504" w:rsidRPr="00A202B1" w:rsidRDefault="004D6CEC" w:rsidP="00BF212E">
            <w:pPr>
              <w:jc w:val="center"/>
              <w:rPr>
                <w:rFonts w:ascii="Titillium Web" w:hAnsi="Titillium Web"/>
                <w:szCs w:val="24"/>
              </w:rPr>
            </w:pPr>
            <w:r w:rsidRPr="00A202B1">
              <w:rPr>
                <w:rFonts w:ascii="Titillium Web" w:hAnsi="Titillium Web"/>
                <w:szCs w:val="24"/>
              </w:rPr>
              <w:t>/</w:t>
            </w:r>
          </w:p>
        </w:tc>
      </w:tr>
      <w:tr w:rsidR="001B5504" w:rsidRPr="00A202B1" w14:paraId="5978151F" w14:textId="77777777" w:rsidTr="001B5504">
        <w:trPr>
          <w:jc w:val="center"/>
        </w:trPr>
        <w:tc>
          <w:tcPr>
            <w:tcW w:w="1650" w:type="pct"/>
            <w:vAlign w:val="center"/>
          </w:tcPr>
          <w:p w14:paraId="1F67A10B" w14:textId="77777777" w:rsidR="001B5504" w:rsidRPr="00A202B1" w:rsidRDefault="001B5504" w:rsidP="00BF212E">
            <w:pPr>
              <w:jc w:val="center"/>
              <w:rPr>
                <w:rFonts w:ascii="Titillium Web" w:hAnsi="Titillium Web"/>
                <w:smallCaps/>
                <w:szCs w:val="24"/>
              </w:rPr>
            </w:pPr>
            <w:r w:rsidRPr="00A202B1">
              <w:rPr>
                <w:rFonts w:ascii="Titillium Web" w:hAnsi="Titillium Web"/>
                <w:smallCaps/>
                <w:szCs w:val="24"/>
              </w:rPr>
              <w:t>Segnacolo</w:t>
            </w:r>
          </w:p>
        </w:tc>
        <w:tc>
          <w:tcPr>
            <w:tcW w:w="3350" w:type="pct"/>
            <w:vAlign w:val="center"/>
          </w:tcPr>
          <w:p w14:paraId="6599D472" w14:textId="7DD51E74" w:rsidR="001B5504" w:rsidRPr="00A202B1" w:rsidRDefault="004D6CEC" w:rsidP="00BF212E">
            <w:pPr>
              <w:jc w:val="center"/>
              <w:rPr>
                <w:rFonts w:ascii="Titillium Web" w:hAnsi="Titillium Web"/>
                <w:szCs w:val="24"/>
              </w:rPr>
            </w:pPr>
            <w:r w:rsidRPr="00A202B1">
              <w:rPr>
                <w:rFonts w:ascii="Titillium Web" w:hAnsi="Titillium Web"/>
                <w:szCs w:val="24"/>
              </w:rPr>
              <w:t>/</w:t>
            </w:r>
          </w:p>
        </w:tc>
      </w:tr>
      <w:tr w:rsidR="001B5504" w:rsidRPr="00A202B1" w14:paraId="28E05F99" w14:textId="77777777" w:rsidTr="001B5504">
        <w:trPr>
          <w:jc w:val="center"/>
        </w:trPr>
        <w:tc>
          <w:tcPr>
            <w:tcW w:w="1650" w:type="pct"/>
            <w:vAlign w:val="center"/>
          </w:tcPr>
          <w:p w14:paraId="6ECF1BD4" w14:textId="77777777" w:rsidR="001B5504" w:rsidRPr="00A202B1" w:rsidRDefault="001B5504" w:rsidP="001F2833">
            <w:pPr>
              <w:spacing w:before="120" w:after="120"/>
              <w:jc w:val="center"/>
              <w:rPr>
                <w:rFonts w:ascii="Titillium Web" w:hAnsi="Titillium Web"/>
                <w:smallCaps/>
                <w:szCs w:val="24"/>
              </w:rPr>
            </w:pPr>
            <w:r w:rsidRPr="00A202B1">
              <w:rPr>
                <w:rFonts w:ascii="Titillium Web" w:hAnsi="Titillium Web"/>
                <w:smallCaps/>
                <w:szCs w:val="24"/>
              </w:rPr>
              <w:t>Giornale di scavo (GdS)</w:t>
            </w:r>
          </w:p>
        </w:tc>
        <w:tc>
          <w:tcPr>
            <w:tcW w:w="3350" w:type="pct"/>
            <w:vAlign w:val="center"/>
          </w:tcPr>
          <w:p w14:paraId="535E57DC" w14:textId="77777777" w:rsidR="004D6CEC" w:rsidRPr="00A202B1" w:rsidRDefault="004D6CEC" w:rsidP="004D6CEC">
            <w:pPr>
              <w:rPr>
                <w:rFonts w:ascii="Titillium Web" w:hAnsi="Titillium Web" w:cs="Times New Roman"/>
                <w:i/>
                <w:iCs/>
                <w:szCs w:val="24"/>
              </w:rPr>
            </w:pPr>
            <w:r w:rsidRPr="00A202B1">
              <w:rPr>
                <w:rFonts w:ascii="Titillium Web" w:hAnsi="Titillium Web" w:cs="Times New Roman"/>
                <w:i/>
                <w:iCs/>
                <w:szCs w:val="24"/>
              </w:rPr>
              <w:t xml:space="preserve">86 Tomba – a cremazione – </w:t>
            </w:r>
          </w:p>
          <w:p w14:paraId="655D6EA2" w14:textId="77777777" w:rsidR="004D6CEC" w:rsidRPr="00A202B1" w:rsidRDefault="004D6CEC" w:rsidP="004D6CEC">
            <w:pPr>
              <w:rPr>
                <w:rFonts w:ascii="Titillium Web" w:hAnsi="Titillium Web" w:cs="Times New Roman"/>
                <w:i/>
                <w:iCs/>
                <w:szCs w:val="24"/>
              </w:rPr>
            </w:pPr>
          </w:p>
          <w:p w14:paraId="4C6A2347" w14:textId="77777777" w:rsidR="004D6CEC" w:rsidRPr="00A202B1" w:rsidRDefault="004D6CEC" w:rsidP="004D6CEC">
            <w:pPr>
              <w:rPr>
                <w:rFonts w:ascii="Titillium Web" w:hAnsi="Titillium Web" w:cs="Times New Roman"/>
                <w:i/>
                <w:iCs/>
                <w:szCs w:val="24"/>
              </w:rPr>
            </w:pPr>
            <w:r w:rsidRPr="00A202B1">
              <w:rPr>
                <w:rFonts w:ascii="Titillium Web" w:hAnsi="Titillium Web" w:cs="Times New Roman"/>
                <w:i/>
                <w:iCs/>
                <w:szCs w:val="24"/>
              </w:rPr>
              <w:t xml:space="preserve">A m 3 a nord della </w:t>
            </w:r>
            <w:r w:rsidRPr="00A202B1">
              <w:rPr>
                <w:rFonts w:ascii="Titillium Web" w:hAnsi="Titillium Web" w:cs="Times New Roman"/>
                <w:i/>
                <w:iCs/>
                <w:strike/>
                <w:szCs w:val="24"/>
              </w:rPr>
              <w:t>33a</w:t>
            </w:r>
            <w:r w:rsidRPr="00A202B1">
              <w:rPr>
                <w:rFonts w:ascii="Titillium Web" w:hAnsi="Titillium Web" w:cs="Times New Roman"/>
                <w:i/>
                <w:iCs/>
                <w:szCs w:val="24"/>
              </w:rPr>
              <w:t xml:space="preserve"> 77 tomba, alla </w:t>
            </w:r>
            <w:proofErr w:type="spellStart"/>
            <w:r w:rsidRPr="00A202B1">
              <w:rPr>
                <w:rFonts w:ascii="Titillium Web" w:hAnsi="Titillium Web" w:cs="Times New Roman"/>
                <w:i/>
                <w:iCs/>
                <w:szCs w:val="24"/>
              </w:rPr>
              <w:t>prof.tà</w:t>
            </w:r>
            <w:proofErr w:type="spellEnd"/>
            <w:r w:rsidRPr="00A202B1">
              <w:rPr>
                <w:rFonts w:ascii="Titillium Web" w:hAnsi="Titillium Web" w:cs="Times New Roman"/>
                <w:i/>
                <w:iCs/>
                <w:szCs w:val="24"/>
              </w:rPr>
              <w:t xml:space="preserve"> di m 0,80 </w:t>
            </w:r>
            <w:r w:rsidRPr="00A202B1">
              <w:rPr>
                <w:rFonts w:ascii="Titillium Web" w:hAnsi="Titillium Web" w:cs="Times New Roman"/>
                <w:i/>
                <w:iCs/>
                <w:szCs w:val="24"/>
                <w:u w:val="single"/>
              </w:rPr>
              <w:t xml:space="preserve">appare un </w:t>
            </w:r>
            <w:proofErr w:type="spellStart"/>
            <w:r w:rsidRPr="00A202B1">
              <w:rPr>
                <w:rFonts w:ascii="Titillium Web" w:hAnsi="Titillium Web" w:cs="Times New Roman"/>
                <w:i/>
                <w:iCs/>
                <w:szCs w:val="24"/>
                <w:u w:val="single"/>
              </w:rPr>
              <w:t>dolietto</w:t>
            </w:r>
            <w:proofErr w:type="spellEnd"/>
            <w:r w:rsidRPr="00A202B1">
              <w:rPr>
                <w:rFonts w:ascii="Titillium Web" w:hAnsi="Titillium Web" w:cs="Times New Roman"/>
                <w:i/>
                <w:iCs/>
                <w:szCs w:val="24"/>
                <w:u w:val="single"/>
              </w:rPr>
              <w:t xml:space="preserve"> di terra grezza</w:t>
            </w:r>
            <w:r w:rsidRPr="00A202B1">
              <w:rPr>
                <w:rFonts w:ascii="Titillium Web" w:hAnsi="Titillium Web" w:cs="Times New Roman"/>
                <w:i/>
                <w:iCs/>
                <w:szCs w:val="24"/>
              </w:rPr>
              <w:t xml:space="preserve">, rossa, di impasto locale alto cm 30 ed era coperto da un piatto di terra rossa e d’impasto grossolano, avente nel centro un cavetto; entro l’ossuario le sole ceneri – </w:t>
            </w:r>
          </w:p>
          <w:p w14:paraId="1ED84040" w14:textId="77777777" w:rsidR="004D6CEC" w:rsidRPr="00A202B1" w:rsidRDefault="004D6CEC" w:rsidP="004D6CEC">
            <w:pPr>
              <w:rPr>
                <w:rFonts w:ascii="Titillium Web" w:hAnsi="Titillium Web" w:cs="Times New Roman"/>
                <w:i/>
                <w:iCs/>
                <w:szCs w:val="24"/>
              </w:rPr>
            </w:pPr>
            <w:r w:rsidRPr="00A202B1">
              <w:rPr>
                <w:rFonts w:ascii="Titillium Web" w:hAnsi="Titillium Web" w:cs="Times New Roman"/>
                <w:i/>
                <w:iCs/>
                <w:szCs w:val="24"/>
              </w:rPr>
              <w:t>di fuori presso il dolio era:</w:t>
            </w:r>
          </w:p>
          <w:p w14:paraId="1A6B7E7E" w14:textId="75719DD3" w:rsidR="001B5504" w:rsidRPr="00A202B1" w:rsidRDefault="004D6CEC" w:rsidP="004D6CEC">
            <w:pPr>
              <w:rPr>
                <w:rFonts w:ascii="Titillium Web" w:hAnsi="Titillium Web" w:cs="Times New Roman"/>
                <w:i/>
                <w:iCs/>
                <w:szCs w:val="24"/>
              </w:rPr>
            </w:pPr>
            <w:r w:rsidRPr="00A202B1">
              <w:rPr>
                <w:rFonts w:ascii="Titillium Web" w:hAnsi="Titillium Web" w:cs="Times New Roman"/>
                <w:i/>
                <w:iCs/>
                <w:szCs w:val="24"/>
                <w:u w:val="single"/>
              </w:rPr>
              <w:t xml:space="preserve">un </w:t>
            </w:r>
            <w:proofErr w:type="spellStart"/>
            <w:r w:rsidRPr="00A202B1">
              <w:rPr>
                <w:rFonts w:ascii="Titillium Web" w:hAnsi="Titillium Web" w:cs="Times New Roman"/>
                <w:i/>
                <w:iCs/>
                <w:szCs w:val="24"/>
                <w:u w:val="single"/>
              </w:rPr>
              <w:t>oinocoe</w:t>
            </w:r>
            <w:proofErr w:type="spellEnd"/>
            <w:r w:rsidRPr="00A202B1">
              <w:rPr>
                <w:rFonts w:ascii="Titillium Web" w:hAnsi="Titillium Web" w:cs="Times New Roman"/>
                <w:i/>
                <w:iCs/>
                <w:szCs w:val="24"/>
                <w:u w:val="single"/>
              </w:rPr>
              <w:t xml:space="preserve"> a bocca trilobata</w:t>
            </w:r>
            <w:r w:rsidRPr="00A202B1">
              <w:rPr>
                <w:rFonts w:ascii="Titillium Web" w:hAnsi="Titillium Web" w:cs="Times New Roman"/>
                <w:i/>
                <w:iCs/>
                <w:szCs w:val="24"/>
              </w:rPr>
              <w:t xml:space="preserve"> con decorazioni di palmette e di volute a tinta bruna, di disegno strapazzatissimo, è alto cm 30 – è leggermente frammentata nella bocca.</w:t>
            </w:r>
          </w:p>
        </w:tc>
      </w:tr>
      <w:tr w:rsidR="001B5504" w:rsidRPr="00A202B1" w14:paraId="4CA65959" w14:textId="77777777" w:rsidTr="001B5504">
        <w:trPr>
          <w:jc w:val="center"/>
        </w:trPr>
        <w:tc>
          <w:tcPr>
            <w:tcW w:w="1650" w:type="pct"/>
            <w:vAlign w:val="center"/>
          </w:tcPr>
          <w:p w14:paraId="42C0306C" w14:textId="77777777" w:rsidR="001B5504" w:rsidRPr="00A202B1" w:rsidRDefault="001B5504" w:rsidP="004E2E94">
            <w:pPr>
              <w:jc w:val="center"/>
              <w:rPr>
                <w:rFonts w:ascii="Titillium Web" w:hAnsi="Titillium Web"/>
                <w:smallCaps/>
                <w:szCs w:val="24"/>
              </w:rPr>
            </w:pPr>
            <w:r w:rsidRPr="00A202B1">
              <w:rPr>
                <w:rFonts w:ascii="Titillium Web" w:hAnsi="Titillium Web"/>
                <w:smallCaps/>
                <w:szCs w:val="24"/>
              </w:rPr>
              <w:t>Corredo</w:t>
            </w:r>
          </w:p>
        </w:tc>
        <w:tc>
          <w:tcPr>
            <w:tcW w:w="3350" w:type="pct"/>
            <w:vAlign w:val="center"/>
          </w:tcPr>
          <w:p w14:paraId="5EE8A294" w14:textId="77777777" w:rsidR="0025328D" w:rsidRPr="00A202B1" w:rsidRDefault="000F562E" w:rsidP="004E2E94">
            <w:pPr>
              <w:contextualSpacing/>
              <w:jc w:val="center"/>
              <w:rPr>
                <w:rFonts w:ascii="Titillium Web" w:hAnsi="Titillium Web" w:cs="Times New Roman"/>
                <w:szCs w:val="24"/>
              </w:rPr>
            </w:pPr>
            <w:r w:rsidRPr="00A202B1">
              <w:rPr>
                <w:rFonts w:ascii="Titillium Web" w:hAnsi="Titillium Web" w:cs="Times New Roman"/>
                <w:szCs w:val="24"/>
              </w:rPr>
              <w:t xml:space="preserve">Un’olla di produzione locale in ceramica depurata (n. 1) fungeva da cinerario ed era coperta da un piatto da pesce della stessa classe produttiva (n. 2). All’esterno del cinerario era stato collocato un probabile </w:t>
            </w:r>
            <w:proofErr w:type="spellStart"/>
            <w:r w:rsidRPr="00A202B1">
              <w:rPr>
                <w:rFonts w:ascii="Titillium Web" w:hAnsi="Titillium Web" w:cs="Times New Roman"/>
                <w:i/>
                <w:iCs/>
                <w:szCs w:val="24"/>
              </w:rPr>
              <w:t>chous</w:t>
            </w:r>
            <w:proofErr w:type="spellEnd"/>
            <w:r w:rsidRPr="00A202B1">
              <w:rPr>
                <w:rFonts w:ascii="Titillium Web" w:hAnsi="Titillium Web" w:cs="Times New Roman"/>
                <w:szCs w:val="24"/>
              </w:rPr>
              <w:t xml:space="preserve"> alto-adriatico, oggi perduto (n. 3*).</w:t>
            </w:r>
          </w:p>
          <w:p w14:paraId="46A040DD" w14:textId="2ED6A378" w:rsidR="0025328D" w:rsidRPr="00A202B1" w:rsidRDefault="0025328D" w:rsidP="004E2E94">
            <w:pPr>
              <w:contextualSpacing/>
              <w:jc w:val="center"/>
              <w:rPr>
                <w:rFonts w:ascii="Titillium Web" w:hAnsi="Titillium Web" w:cs="Times New Roman"/>
                <w:szCs w:val="24"/>
              </w:rPr>
            </w:pPr>
            <w:r w:rsidRPr="00A202B1">
              <w:rPr>
                <w:rFonts w:ascii="Titillium Web" w:hAnsi="Titillium Web" w:cs="Times New Roman"/>
                <w:szCs w:val="24"/>
              </w:rPr>
              <w:t>1. Olla di produzione locale (IG 45741; ceramica depurata)</w:t>
            </w:r>
          </w:p>
          <w:p w14:paraId="5EE32F9C" w14:textId="37F51A9A" w:rsidR="000F562E" w:rsidRPr="00A202B1" w:rsidRDefault="0025328D" w:rsidP="004E2E94">
            <w:pPr>
              <w:contextualSpacing/>
              <w:jc w:val="center"/>
              <w:rPr>
                <w:rFonts w:ascii="Titillium Web" w:hAnsi="Titillium Web" w:cs="Times New Roman"/>
                <w:szCs w:val="24"/>
              </w:rPr>
            </w:pPr>
            <w:r w:rsidRPr="00A202B1">
              <w:rPr>
                <w:rFonts w:ascii="Titillium Web" w:hAnsi="Titillium Web" w:cs="Times New Roman"/>
                <w:szCs w:val="24"/>
              </w:rPr>
              <w:t>2. Piatto di produzione locale (IG 45082; ceramica depurata)</w:t>
            </w:r>
            <w:r w:rsidRPr="00A202B1">
              <w:rPr>
                <w:rFonts w:ascii="Titillium Web" w:hAnsi="Titillium Web" w:cs="Times New Roman"/>
                <w:szCs w:val="24"/>
              </w:rPr>
              <w:br/>
              <w:t>3*. Chous alto-adriatico di produzione locale (?)</w:t>
            </w:r>
          </w:p>
        </w:tc>
      </w:tr>
      <w:tr w:rsidR="001B5504" w:rsidRPr="00A202B1" w14:paraId="520D9732" w14:textId="77777777" w:rsidTr="001B5504">
        <w:trPr>
          <w:jc w:val="center"/>
        </w:trPr>
        <w:tc>
          <w:tcPr>
            <w:tcW w:w="1650" w:type="pct"/>
            <w:vAlign w:val="center"/>
          </w:tcPr>
          <w:p w14:paraId="24BE97D5" w14:textId="77777777" w:rsidR="001B5504" w:rsidRPr="00A202B1" w:rsidRDefault="001B5504" w:rsidP="00BF212E">
            <w:pPr>
              <w:jc w:val="center"/>
              <w:rPr>
                <w:rFonts w:ascii="Titillium Web" w:hAnsi="Titillium Web"/>
                <w:smallCaps/>
                <w:szCs w:val="24"/>
              </w:rPr>
            </w:pPr>
            <w:r w:rsidRPr="00A202B1">
              <w:rPr>
                <w:rFonts w:ascii="Titillium Web" w:hAnsi="Titillium Web"/>
                <w:smallCaps/>
                <w:szCs w:val="24"/>
              </w:rPr>
              <w:t>Posizione del corredo</w:t>
            </w:r>
          </w:p>
        </w:tc>
        <w:tc>
          <w:tcPr>
            <w:tcW w:w="3350" w:type="pct"/>
            <w:vAlign w:val="center"/>
          </w:tcPr>
          <w:p w14:paraId="3ED37A74" w14:textId="64AA8E11" w:rsidR="001B5504" w:rsidRPr="00A202B1" w:rsidRDefault="004E2E94" w:rsidP="00BF212E">
            <w:pPr>
              <w:jc w:val="center"/>
              <w:rPr>
                <w:rFonts w:ascii="Titillium Web" w:hAnsi="Titillium Web"/>
                <w:szCs w:val="24"/>
              </w:rPr>
            </w:pPr>
            <w:r w:rsidRPr="00A202B1">
              <w:rPr>
                <w:rFonts w:ascii="Titillium Web" w:hAnsi="Titillium Web"/>
                <w:szCs w:val="24"/>
              </w:rPr>
              <w:t>Dentro il cinerario</w:t>
            </w:r>
          </w:p>
        </w:tc>
      </w:tr>
      <w:tr w:rsidR="001B5504" w:rsidRPr="00A202B1" w14:paraId="05ACB002" w14:textId="77777777" w:rsidTr="001B5504">
        <w:trPr>
          <w:jc w:val="center"/>
        </w:trPr>
        <w:tc>
          <w:tcPr>
            <w:tcW w:w="1650" w:type="pct"/>
            <w:vAlign w:val="center"/>
          </w:tcPr>
          <w:p w14:paraId="6E6E37F2" w14:textId="77777777" w:rsidR="001B5504" w:rsidRPr="00A202B1" w:rsidRDefault="001B5504" w:rsidP="00BF212E">
            <w:pPr>
              <w:jc w:val="center"/>
              <w:rPr>
                <w:rFonts w:ascii="Titillium Web" w:hAnsi="Titillium Web"/>
                <w:smallCaps/>
                <w:szCs w:val="24"/>
              </w:rPr>
            </w:pPr>
            <w:r w:rsidRPr="00A202B1">
              <w:rPr>
                <w:rFonts w:ascii="Titillium Web" w:hAnsi="Titillium Web"/>
                <w:smallCaps/>
                <w:szCs w:val="24"/>
              </w:rPr>
              <w:t>Stato di conservazione e affidabilità del corredo</w:t>
            </w:r>
          </w:p>
        </w:tc>
        <w:tc>
          <w:tcPr>
            <w:tcW w:w="3350" w:type="pct"/>
            <w:vAlign w:val="center"/>
          </w:tcPr>
          <w:p w14:paraId="66E8A271" w14:textId="71C6EF24" w:rsidR="001B5504" w:rsidRPr="00A202B1" w:rsidRDefault="00340579" w:rsidP="00BF212E">
            <w:pPr>
              <w:jc w:val="center"/>
              <w:rPr>
                <w:rFonts w:ascii="Titillium Web" w:hAnsi="Titillium Web"/>
                <w:szCs w:val="24"/>
              </w:rPr>
            </w:pPr>
            <w:r w:rsidRPr="00A202B1">
              <w:rPr>
                <w:rFonts w:ascii="Titillium Web" w:hAnsi="Titillium Web"/>
                <w:szCs w:val="24"/>
              </w:rPr>
              <w:t xml:space="preserve">Si esclude dal corredo un piatto di produzione locale in ceramica depurata, poiché non menzionato nel GdS. </w:t>
            </w:r>
          </w:p>
        </w:tc>
      </w:tr>
      <w:tr w:rsidR="001B5504" w:rsidRPr="00A202B1" w14:paraId="6E424069" w14:textId="77777777" w:rsidTr="001B5504">
        <w:trPr>
          <w:jc w:val="center"/>
        </w:trPr>
        <w:tc>
          <w:tcPr>
            <w:tcW w:w="1650" w:type="pct"/>
            <w:vAlign w:val="center"/>
          </w:tcPr>
          <w:p w14:paraId="4CE8DFDE" w14:textId="77777777" w:rsidR="001B5504" w:rsidRPr="00A202B1" w:rsidRDefault="001B5504" w:rsidP="00BF212E">
            <w:pPr>
              <w:jc w:val="center"/>
              <w:rPr>
                <w:rFonts w:ascii="Titillium Web" w:hAnsi="Titillium Web"/>
                <w:smallCaps/>
                <w:szCs w:val="24"/>
              </w:rPr>
            </w:pPr>
            <w:r w:rsidRPr="00A202B1">
              <w:rPr>
                <w:rFonts w:ascii="Titillium Web" w:hAnsi="Titillium Web"/>
                <w:smallCaps/>
                <w:szCs w:val="24"/>
              </w:rPr>
              <w:t>Genere (legato all’analisi del corredo)</w:t>
            </w:r>
          </w:p>
        </w:tc>
        <w:tc>
          <w:tcPr>
            <w:tcW w:w="3350" w:type="pct"/>
            <w:vAlign w:val="center"/>
          </w:tcPr>
          <w:p w14:paraId="04E55D8B" w14:textId="15D5D226" w:rsidR="001B5504" w:rsidRPr="00A202B1" w:rsidRDefault="001B5504" w:rsidP="00BF212E">
            <w:pPr>
              <w:jc w:val="center"/>
              <w:rPr>
                <w:rFonts w:ascii="Titillium Web" w:hAnsi="Titillium Web"/>
                <w:szCs w:val="24"/>
              </w:rPr>
            </w:pPr>
            <w:r w:rsidRPr="00A202B1">
              <w:rPr>
                <w:rFonts w:ascii="Titillium Web" w:hAnsi="Titillium Web"/>
                <w:szCs w:val="24"/>
              </w:rPr>
              <w:t>Non determinabile</w:t>
            </w:r>
          </w:p>
        </w:tc>
      </w:tr>
      <w:tr w:rsidR="001B5504" w:rsidRPr="00A202B1" w14:paraId="7C1BF645" w14:textId="77777777" w:rsidTr="001B5504">
        <w:trPr>
          <w:jc w:val="center"/>
        </w:trPr>
        <w:tc>
          <w:tcPr>
            <w:tcW w:w="1650" w:type="pct"/>
            <w:vAlign w:val="center"/>
          </w:tcPr>
          <w:p w14:paraId="7EADEEB5" w14:textId="77777777" w:rsidR="001B5504" w:rsidRPr="00A202B1" w:rsidRDefault="001B5504" w:rsidP="00BF212E">
            <w:pPr>
              <w:jc w:val="center"/>
              <w:rPr>
                <w:rFonts w:ascii="Titillium Web" w:hAnsi="Titillium Web"/>
                <w:smallCaps/>
                <w:szCs w:val="24"/>
              </w:rPr>
            </w:pPr>
            <w:r w:rsidRPr="00A202B1">
              <w:rPr>
                <w:rFonts w:ascii="Titillium Web" w:hAnsi="Titillium Web"/>
                <w:smallCaps/>
                <w:szCs w:val="24"/>
              </w:rPr>
              <w:lastRenderedPageBreak/>
              <w:t>Sesso (legato alle analisi antropologiche)</w:t>
            </w:r>
          </w:p>
        </w:tc>
        <w:tc>
          <w:tcPr>
            <w:tcW w:w="3350" w:type="pct"/>
            <w:vAlign w:val="center"/>
          </w:tcPr>
          <w:p w14:paraId="5D17FB99" w14:textId="46EBB367" w:rsidR="001B5504" w:rsidRPr="00A202B1" w:rsidRDefault="001B5504" w:rsidP="00BF212E">
            <w:pPr>
              <w:jc w:val="center"/>
              <w:rPr>
                <w:rFonts w:ascii="Titillium Web" w:hAnsi="Titillium Web"/>
                <w:szCs w:val="24"/>
              </w:rPr>
            </w:pPr>
            <w:r w:rsidRPr="00A202B1">
              <w:rPr>
                <w:rFonts w:ascii="Titillium Web" w:hAnsi="Titillium Web"/>
                <w:szCs w:val="24"/>
              </w:rPr>
              <w:t>Non determinabile</w:t>
            </w:r>
          </w:p>
        </w:tc>
      </w:tr>
      <w:tr w:rsidR="001B5504" w:rsidRPr="00A202B1" w14:paraId="498C4222" w14:textId="77777777" w:rsidTr="001B5504">
        <w:trPr>
          <w:jc w:val="center"/>
        </w:trPr>
        <w:tc>
          <w:tcPr>
            <w:tcW w:w="1650" w:type="pct"/>
            <w:vAlign w:val="center"/>
          </w:tcPr>
          <w:p w14:paraId="57C39F2A" w14:textId="77777777" w:rsidR="001B5504" w:rsidRPr="00A202B1" w:rsidRDefault="001B5504" w:rsidP="00BF212E">
            <w:pPr>
              <w:jc w:val="center"/>
              <w:rPr>
                <w:rFonts w:ascii="Titillium Web" w:hAnsi="Titillium Web"/>
                <w:smallCaps/>
                <w:szCs w:val="24"/>
              </w:rPr>
            </w:pPr>
            <w:r w:rsidRPr="00A202B1">
              <w:rPr>
                <w:rFonts w:ascii="Titillium Web" w:hAnsi="Titillium Web"/>
                <w:smallCaps/>
                <w:szCs w:val="24"/>
              </w:rPr>
              <w:t>Classi di età</w:t>
            </w:r>
          </w:p>
        </w:tc>
        <w:tc>
          <w:tcPr>
            <w:tcW w:w="3350" w:type="pct"/>
            <w:vAlign w:val="center"/>
          </w:tcPr>
          <w:p w14:paraId="3FA8CB4E" w14:textId="5B4E47B7" w:rsidR="001B5504" w:rsidRPr="00A202B1" w:rsidRDefault="001B5504" w:rsidP="00BF212E">
            <w:pPr>
              <w:jc w:val="center"/>
              <w:rPr>
                <w:rFonts w:ascii="Titillium Web" w:hAnsi="Titillium Web"/>
                <w:szCs w:val="24"/>
              </w:rPr>
            </w:pPr>
            <w:r w:rsidRPr="00A202B1">
              <w:rPr>
                <w:rFonts w:ascii="Titillium Web" w:hAnsi="Titillium Web"/>
                <w:szCs w:val="24"/>
              </w:rPr>
              <w:t>Non determinabile</w:t>
            </w:r>
          </w:p>
        </w:tc>
      </w:tr>
      <w:tr w:rsidR="001B5504" w:rsidRPr="00A202B1" w14:paraId="698056B7" w14:textId="77777777" w:rsidTr="001B5504">
        <w:trPr>
          <w:jc w:val="center"/>
        </w:trPr>
        <w:tc>
          <w:tcPr>
            <w:tcW w:w="1650" w:type="pct"/>
            <w:vAlign w:val="center"/>
          </w:tcPr>
          <w:p w14:paraId="225E12C1" w14:textId="77777777" w:rsidR="001B5504" w:rsidRPr="00A202B1" w:rsidRDefault="001B5504" w:rsidP="00BF212E">
            <w:pPr>
              <w:jc w:val="center"/>
              <w:rPr>
                <w:rFonts w:ascii="Titillium Web" w:hAnsi="Titillium Web"/>
                <w:smallCaps/>
                <w:szCs w:val="24"/>
              </w:rPr>
            </w:pPr>
            <w:r w:rsidRPr="00A202B1">
              <w:rPr>
                <w:rFonts w:ascii="Titillium Web" w:hAnsi="Titillium Web"/>
                <w:smallCaps/>
                <w:szCs w:val="24"/>
              </w:rPr>
              <w:t>Cronologia</w:t>
            </w:r>
          </w:p>
        </w:tc>
        <w:tc>
          <w:tcPr>
            <w:tcW w:w="3350" w:type="pct"/>
            <w:vAlign w:val="center"/>
          </w:tcPr>
          <w:p w14:paraId="440AB2F6" w14:textId="65221464" w:rsidR="001B5504" w:rsidRPr="00A202B1" w:rsidRDefault="001B5504" w:rsidP="00BF212E">
            <w:pPr>
              <w:jc w:val="center"/>
              <w:rPr>
                <w:rFonts w:ascii="Titillium Web" w:hAnsi="Titillium Web"/>
                <w:szCs w:val="24"/>
              </w:rPr>
            </w:pPr>
            <w:r w:rsidRPr="00A202B1">
              <w:rPr>
                <w:rFonts w:ascii="Titillium Web" w:hAnsi="Titillium Web"/>
                <w:szCs w:val="24"/>
              </w:rPr>
              <w:t>IV -III sec. a.C.</w:t>
            </w:r>
          </w:p>
        </w:tc>
      </w:tr>
      <w:tr w:rsidR="001B5504" w:rsidRPr="00A202B1" w14:paraId="3105DEE4" w14:textId="77777777" w:rsidTr="001B5504">
        <w:trPr>
          <w:jc w:val="center"/>
        </w:trPr>
        <w:tc>
          <w:tcPr>
            <w:tcW w:w="1650" w:type="pct"/>
            <w:vAlign w:val="center"/>
          </w:tcPr>
          <w:p w14:paraId="2DF8B210" w14:textId="77777777" w:rsidR="001B5504" w:rsidRPr="00A202B1" w:rsidRDefault="001B5504" w:rsidP="00BF212E">
            <w:pPr>
              <w:jc w:val="center"/>
              <w:rPr>
                <w:rFonts w:ascii="Titillium Web" w:hAnsi="Titillium Web"/>
                <w:smallCaps/>
                <w:szCs w:val="24"/>
              </w:rPr>
            </w:pPr>
            <w:r w:rsidRPr="00A202B1">
              <w:rPr>
                <w:rFonts w:ascii="Titillium Web" w:hAnsi="Titillium Web"/>
                <w:smallCaps/>
                <w:szCs w:val="24"/>
              </w:rPr>
              <w:t>Bibliografia (della tomba)</w:t>
            </w:r>
          </w:p>
        </w:tc>
        <w:tc>
          <w:tcPr>
            <w:tcW w:w="3350" w:type="pct"/>
            <w:vAlign w:val="center"/>
          </w:tcPr>
          <w:p w14:paraId="38D3D101" w14:textId="722A4CC7" w:rsidR="001B5504" w:rsidRPr="00A202B1" w:rsidRDefault="00B119E3" w:rsidP="00BF212E">
            <w:pPr>
              <w:jc w:val="center"/>
              <w:rPr>
                <w:rFonts w:ascii="Titillium Web" w:hAnsi="Titillium Web"/>
                <w:szCs w:val="24"/>
              </w:rPr>
            </w:pPr>
            <w:r>
              <w:rPr>
                <w:rFonts w:ascii="Titillium Web" w:hAnsi="Titillium Web"/>
                <w:szCs w:val="24"/>
              </w:rPr>
              <w:t>/</w:t>
            </w:r>
          </w:p>
        </w:tc>
      </w:tr>
      <w:tr w:rsidR="001B5504" w:rsidRPr="00A202B1" w14:paraId="6887A6E3" w14:textId="77777777" w:rsidTr="001B5504">
        <w:trPr>
          <w:jc w:val="center"/>
        </w:trPr>
        <w:tc>
          <w:tcPr>
            <w:tcW w:w="1650" w:type="pct"/>
            <w:vAlign w:val="center"/>
          </w:tcPr>
          <w:p w14:paraId="4944AE43" w14:textId="77777777" w:rsidR="001B5504" w:rsidRPr="00A202B1" w:rsidRDefault="001B5504" w:rsidP="00BF212E">
            <w:pPr>
              <w:jc w:val="center"/>
              <w:rPr>
                <w:rFonts w:ascii="Titillium Web" w:hAnsi="Titillium Web"/>
                <w:smallCaps/>
                <w:szCs w:val="24"/>
              </w:rPr>
            </w:pPr>
            <w:r w:rsidRPr="00A202B1">
              <w:rPr>
                <w:rFonts w:ascii="Titillium Web" w:hAnsi="Titillium Web"/>
                <w:smallCaps/>
                <w:szCs w:val="24"/>
              </w:rPr>
              <w:t>Link alla pubblicazione</w:t>
            </w:r>
          </w:p>
        </w:tc>
        <w:tc>
          <w:tcPr>
            <w:tcW w:w="3350" w:type="pct"/>
            <w:vAlign w:val="center"/>
          </w:tcPr>
          <w:p w14:paraId="6ADE2D95" w14:textId="5EBDA977" w:rsidR="001B5504" w:rsidRPr="00A202B1" w:rsidRDefault="001B5504" w:rsidP="00BF212E">
            <w:pPr>
              <w:jc w:val="center"/>
              <w:rPr>
                <w:rFonts w:ascii="Titillium Web" w:hAnsi="Titillium Web"/>
                <w:szCs w:val="24"/>
              </w:rPr>
            </w:pPr>
          </w:p>
        </w:tc>
      </w:tr>
    </w:tbl>
    <w:p w14:paraId="4DC97993" w14:textId="77777777" w:rsidR="001B5504" w:rsidRPr="00C30F5C" w:rsidRDefault="001B5504" w:rsidP="001B5504">
      <w:pPr>
        <w:jc w:val="center"/>
        <w:rPr>
          <w:rFonts w:ascii="Titillium Web" w:hAnsi="Titillium Web"/>
          <w:b/>
          <w:bCs/>
          <w:sz w:val="28"/>
          <w:szCs w:val="24"/>
        </w:rPr>
      </w:pPr>
    </w:p>
    <w:sectPr w:rsidR="001B5504" w:rsidRPr="00C30F5C" w:rsidSect="005B5AFF">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Titillium Web">
    <w:panose1 w:val="00000500000000000000"/>
    <w:charset w:val="00"/>
    <w:family w:val="auto"/>
    <w:pitch w:val="variable"/>
    <w:sig w:usb0="00000007" w:usb1="00000001"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35997"/>
    <w:multiLevelType w:val="hybridMultilevel"/>
    <w:tmpl w:val="C2DE6EE8"/>
    <w:lvl w:ilvl="0" w:tplc="FD9E36EE">
      <w:start w:val="13"/>
      <w:numFmt w:val="bullet"/>
      <w:lvlText w:val=""/>
      <w:lvlJc w:val="left"/>
      <w:pPr>
        <w:ind w:left="720" w:hanging="360"/>
      </w:pPr>
      <w:rPr>
        <w:rFonts w:ascii="Symbol" w:eastAsiaTheme="minorHAnsi" w:hAnsi="Symbol"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47195BB3"/>
    <w:multiLevelType w:val="hybridMultilevel"/>
    <w:tmpl w:val="6C4E81A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843980534">
    <w:abstractNumId w:val="0"/>
  </w:num>
  <w:num w:numId="2" w16cid:durableId="11396922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B2D"/>
    <w:rsid w:val="00014214"/>
    <w:rsid w:val="000D72F4"/>
    <w:rsid w:val="000F562E"/>
    <w:rsid w:val="001B5504"/>
    <w:rsid w:val="001F2833"/>
    <w:rsid w:val="0025328D"/>
    <w:rsid w:val="0029024B"/>
    <w:rsid w:val="002977D7"/>
    <w:rsid w:val="002F1500"/>
    <w:rsid w:val="00340579"/>
    <w:rsid w:val="00472AF4"/>
    <w:rsid w:val="004D6CEC"/>
    <w:rsid w:val="004E2E94"/>
    <w:rsid w:val="00513D4F"/>
    <w:rsid w:val="005B5AFF"/>
    <w:rsid w:val="0068458A"/>
    <w:rsid w:val="00710B38"/>
    <w:rsid w:val="007145BC"/>
    <w:rsid w:val="007D54CD"/>
    <w:rsid w:val="00851637"/>
    <w:rsid w:val="00942E70"/>
    <w:rsid w:val="00943EAC"/>
    <w:rsid w:val="00950348"/>
    <w:rsid w:val="00975CA9"/>
    <w:rsid w:val="00997946"/>
    <w:rsid w:val="009E4922"/>
    <w:rsid w:val="00A202B1"/>
    <w:rsid w:val="00A52A70"/>
    <w:rsid w:val="00B119E3"/>
    <w:rsid w:val="00B165C4"/>
    <w:rsid w:val="00B86B2D"/>
    <w:rsid w:val="00BE2CB2"/>
    <w:rsid w:val="00BE63CC"/>
    <w:rsid w:val="00BF212E"/>
    <w:rsid w:val="00C21EE0"/>
    <w:rsid w:val="00C30F5C"/>
    <w:rsid w:val="00CC46E5"/>
    <w:rsid w:val="00D54723"/>
    <w:rsid w:val="00DB1668"/>
    <w:rsid w:val="00E0524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66EA0"/>
  <w15:chartTrackingRefBased/>
  <w15:docId w15:val="{475B289C-F9A1-4717-B3D6-E982B8FC7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it-IT" w:eastAsia="en-US" w:bidi="ar-SA"/>
        <w14:ligatures w14:val="standardContextual"/>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14214"/>
  </w:style>
  <w:style w:type="paragraph" w:styleId="Titolo1">
    <w:name w:val="heading 1"/>
    <w:basedOn w:val="Normale"/>
    <w:next w:val="Normale"/>
    <w:link w:val="Titolo1Carattere"/>
    <w:uiPriority w:val="9"/>
    <w:qFormat/>
    <w:rsid w:val="00B86B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B86B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B86B2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B86B2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B86B2D"/>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B86B2D"/>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B86B2D"/>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B86B2D"/>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B86B2D"/>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86B2D"/>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B86B2D"/>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B86B2D"/>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B86B2D"/>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B86B2D"/>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B86B2D"/>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B86B2D"/>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B86B2D"/>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B86B2D"/>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B86B2D"/>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86B2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B86B2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B86B2D"/>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B86B2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B86B2D"/>
    <w:rPr>
      <w:i/>
      <w:iCs/>
      <w:color w:val="404040" w:themeColor="text1" w:themeTint="BF"/>
    </w:rPr>
  </w:style>
  <w:style w:type="paragraph" w:styleId="Paragrafoelenco">
    <w:name w:val="List Paragraph"/>
    <w:basedOn w:val="Normale"/>
    <w:uiPriority w:val="34"/>
    <w:qFormat/>
    <w:rsid w:val="00B86B2D"/>
    <w:pPr>
      <w:ind w:left="720"/>
      <w:contextualSpacing/>
    </w:pPr>
  </w:style>
  <w:style w:type="character" w:styleId="Enfasiintensa">
    <w:name w:val="Intense Emphasis"/>
    <w:basedOn w:val="Carpredefinitoparagrafo"/>
    <w:uiPriority w:val="21"/>
    <w:qFormat/>
    <w:rsid w:val="00B86B2D"/>
    <w:rPr>
      <w:i/>
      <w:iCs/>
      <w:color w:val="0F4761" w:themeColor="accent1" w:themeShade="BF"/>
    </w:rPr>
  </w:style>
  <w:style w:type="paragraph" w:styleId="Citazioneintensa">
    <w:name w:val="Intense Quote"/>
    <w:basedOn w:val="Normale"/>
    <w:next w:val="Normale"/>
    <w:link w:val="CitazioneintensaCarattere"/>
    <w:uiPriority w:val="30"/>
    <w:qFormat/>
    <w:rsid w:val="00B86B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B86B2D"/>
    <w:rPr>
      <w:i/>
      <w:iCs/>
      <w:color w:val="0F4761" w:themeColor="accent1" w:themeShade="BF"/>
    </w:rPr>
  </w:style>
  <w:style w:type="character" w:styleId="Riferimentointenso">
    <w:name w:val="Intense Reference"/>
    <w:basedOn w:val="Carpredefinitoparagrafo"/>
    <w:uiPriority w:val="32"/>
    <w:qFormat/>
    <w:rsid w:val="00B86B2D"/>
    <w:rPr>
      <w:b/>
      <w:bCs/>
      <w:smallCaps/>
      <w:color w:val="0F4761" w:themeColor="accent1" w:themeShade="BF"/>
      <w:spacing w:val="5"/>
    </w:rPr>
  </w:style>
  <w:style w:type="table" w:styleId="Grigliatabella">
    <w:name w:val="Table Grid"/>
    <w:basedOn w:val="Tabellanormale"/>
    <w:uiPriority w:val="39"/>
    <w:rsid w:val="0001421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basedOn w:val="Carpredefinitoparagrafo"/>
    <w:uiPriority w:val="99"/>
    <w:unhideWhenUsed/>
    <w:rsid w:val="00950348"/>
    <w:rPr>
      <w:color w:val="467886" w:themeColor="hyperlink"/>
      <w:u w:val="single"/>
    </w:rPr>
  </w:style>
  <w:style w:type="paragraph" w:styleId="Revisione">
    <w:name w:val="Revision"/>
    <w:hidden/>
    <w:uiPriority w:val="99"/>
    <w:semiHidden/>
    <w:rsid w:val="00710B38"/>
    <w:pPr>
      <w:spacing w:after="0"/>
      <w:jc w:val="left"/>
    </w:pPr>
  </w:style>
  <w:style w:type="character" w:styleId="Rimandocommento">
    <w:name w:val="annotation reference"/>
    <w:basedOn w:val="Carpredefinitoparagrafo"/>
    <w:uiPriority w:val="99"/>
    <w:semiHidden/>
    <w:unhideWhenUsed/>
    <w:rsid w:val="00710B38"/>
    <w:rPr>
      <w:sz w:val="16"/>
      <w:szCs w:val="16"/>
    </w:rPr>
  </w:style>
  <w:style w:type="paragraph" w:styleId="Testocommento">
    <w:name w:val="annotation text"/>
    <w:basedOn w:val="Normale"/>
    <w:link w:val="TestocommentoCarattere"/>
    <w:uiPriority w:val="99"/>
    <w:semiHidden/>
    <w:unhideWhenUsed/>
    <w:rsid w:val="00710B38"/>
    <w:rPr>
      <w:sz w:val="20"/>
      <w:szCs w:val="20"/>
    </w:rPr>
  </w:style>
  <w:style w:type="character" w:customStyle="1" w:styleId="TestocommentoCarattere">
    <w:name w:val="Testo commento Carattere"/>
    <w:basedOn w:val="Carpredefinitoparagrafo"/>
    <w:link w:val="Testocommento"/>
    <w:uiPriority w:val="99"/>
    <w:semiHidden/>
    <w:rsid w:val="00710B38"/>
    <w:rPr>
      <w:sz w:val="20"/>
      <w:szCs w:val="20"/>
    </w:rPr>
  </w:style>
  <w:style w:type="paragraph" w:styleId="Soggettocommento">
    <w:name w:val="annotation subject"/>
    <w:basedOn w:val="Testocommento"/>
    <w:next w:val="Testocommento"/>
    <w:link w:val="SoggettocommentoCarattere"/>
    <w:uiPriority w:val="99"/>
    <w:semiHidden/>
    <w:unhideWhenUsed/>
    <w:rsid w:val="00710B38"/>
    <w:rPr>
      <w:b/>
      <w:bCs/>
    </w:rPr>
  </w:style>
  <w:style w:type="character" w:customStyle="1" w:styleId="SoggettocommentoCarattere">
    <w:name w:val="Soggetto commento Carattere"/>
    <w:basedOn w:val="TestocommentoCarattere"/>
    <w:link w:val="Soggettocommento"/>
    <w:uiPriority w:val="99"/>
    <w:semiHidden/>
    <w:rsid w:val="00710B3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252</Words>
  <Characters>1441</Characters>
  <Application>Microsoft Office Word</Application>
  <DocSecurity>0</DocSecurity>
  <Lines>12</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martina castoldi</dc:creator>
  <cp:keywords/>
  <dc:description/>
  <cp:lastModifiedBy>martina castoldi</cp:lastModifiedBy>
  <cp:revision>17</cp:revision>
  <dcterms:created xsi:type="dcterms:W3CDTF">2026-04-28T14:33:00Z</dcterms:created>
  <dcterms:modified xsi:type="dcterms:W3CDTF">2026-05-18T08:38:00Z</dcterms:modified>
</cp:coreProperties>
</file>