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3476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3476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3476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53476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53476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53476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3476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476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3476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08D68AA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Tomba 868 – a cremazione</w:t>
            </w:r>
          </w:p>
          <w:p w14:paraId="1BF4FE27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A m. 60 dal B, a m. 18,40 a nord della linea di scavo, a m. 0,80 di profondità poggiava:</w:t>
            </w:r>
          </w:p>
          <w:p w14:paraId="20C6E115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1 dolietto di forma ovoidale, di impasto rozzo e di argilla brunastra, con 4 tubercoli nello sviluppo del ventre: è leggermente frammentario presso la bocca.</w:t>
            </w:r>
          </w:p>
          <w:p w14:paraId="08B59DFA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Entro al dolio erano le ceneri e</w:t>
            </w:r>
          </w:p>
          <w:p w14:paraId="3A7A2DE7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3476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34761">
              <w:rPr>
                <w:rFonts w:ascii="Titillium Web" w:hAnsi="Titillium Web"/>
                <w:i/>
                <w:iCs/>
                <w:szCs w:val="24"/>
              </w:rPr>
              <w:t xml:space="preserve"> scodelle apode, a vern. nera, intere; una ha palmette e ovuli ad impressione, l’altra è liscia.</w:t>
            </w:r>
          </w:p>
          <w:p w14:paraId="7C3FC597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Era coperto da:</w:t>
            </w:r>
          </w:p>
          <w:p w14:paraId="358C276B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1 ciotola di argilla cenerognola, grezza, marcita.</w:t>
            </w:r>
          </w:p>
          <w:p w14:paraId="5CD10D8F" w14:textId="77777777" w:rsidR="00F35D3F" w:rsidRPr="0053476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34761">
              <w:rPr>
                <w:rFonts w:ascii="Titillium Web" w:hAnsi="Titillium Web"/>
                <w:i/>
                <w:iCs/>
                <w:szCs w:val="24"/>
              </w:rPr>
              <w:t>Non raccolta.</w:t>
            </w:r>
          </w:p>
        </w:tc>
      </w:tr>
      <w:tr w:rsidR="0086297F" w:rsidRPr="0053476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53476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76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76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3476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3476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3476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3476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B02110C" w14:textId="77777777" w:rsidR="00F35D3F" w:rsidRPr="00534761" w:rsidRDefault="00000000" w:rsidP="00534761">
            <w:pPr>
              <w:jc w:val="center"/>
              <w:rPr>
                <w:rFonts w:ascii="Titillium Web" w:hAnsi="Titillium Web"/>
                <w:szCs w:val="24"/>
              </w:rPr>
            </w:pPr>
            <w:r w:rsidRPr="00534761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534761">
              <w:rPr>
                <w:rFonts w:ascii="Titillium Web" w:eastAsia="Titillium" w:hAnsi="Titillium Web" w:cs="Titillium"/>
                <w:szCs w:val="24"/>
              </w:rPr>
              <w:t xml:space="preserve"> 1981, pp. 153-154; </w:t>
            </w:r>
            <w:r w:rsidRPr="00534761">
              <w:rPr>
                <w:rFonts w:ascii="Titillium Web" w:eastAsia="Titillium" w:hAnsi="Titillium Web" w:cs="Titillium"/>
                <w:smallCaps/>
                <w:szCs w:val="24"/>
              </w:rPr>
              <w:t>Ruscelli</w:t>
            </w:r>
            <w:r w:rsidRPr="00534761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34761"/>
    <w:rsid w:val="00551AF8"/>
    <w:rsid w:val="005B5AFF"/>
    <w:rsid w:val="006162A4"/>
    <w:rsid w:val="006346F7"/>
    <w:rsid w:val="006D6EFB"/>
    <w:rsid w:val="007145BC"/>
    <w:rsid w:val="007239CC"/>
    <w:rsid w:val="0086297F"/>
    <w:rsid w:val="009E4922"/>
    <w:rsid w:val="00AB321D"/>
    <w:rsid w:val="00B165C4"/>
    <w:rsid w:val="00C21EE0"/>
    <w:rsid w:val="00D900AB"/>
    <w:rsid w:val="00D936E8"/>
    <w:rsid w:val="00E24633"/>
    <w:rsid w:val="00F3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2026-05-14T15:14:00Z</dcterms:modified>
</cp:coreProperties>
</file>