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172F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172F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172F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172F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172F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E172F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172F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86297F" w:rsidRPr="00E172F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172F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2C212C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Tomba 870 – a umazione</w:t>
            </w:r>
          </w:p>
          <w:p w14:paraId="2101A1C7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 xml:space="preserve">A m. 58 dal B, a m. 18,50 a nord della linea dei 121 metri dal D. B., a m. 1,08 di profondità giaceva uno scheletro orientato con la testa a </w:t>
            </w:r>
            <w:proofErr w:type="gramStart"/>
            <w:r w:rsidRPr="00E172F6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E172F6">
              <w:rPr>
                <w:rFonts w:ascii="Titillium Web" w:hAnsi="Titillium Web"/>
                <w:i/>
                <w:iCs/>
                <w:szCs w:val="24"/>
              </w:rPr>
              <w:t xml:space="preserve"> e i piedi a NO: rispettivamente gradi 140 e 320.</w:t>
            </w:r>
          </w:p>
          <w:p w14:paraId="56A80E75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Sembra che dovesse avere, in antico, la cassa di legno; benché non si siano rinvenute traccie di residui legnosi però presso i piedi e dietro la testa dello scheletro si raccolsero dei frammenti di ferro (chiodi?).</w:t>
            </w:r>
          </w:p>
          <w:p w14:paraId="083F7D11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Lo scheletro aveva presso la testa:</w:t>
            </w:r>
          </w:p>
          <w:p w14:paraId="06ADB17F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1 balsamario fittile, tipo alabastron, decorato di zone di linee incrociantesi sul corpo (nere): è frammentato presso la bocca.</w:t>
            </w:r>
          </w:p>
          <w:p w14:paraId="507F1114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1 altro balsamario fittile simile al precedente era presso il braccio sin., anch’esso frammentato nella bocca, e</w:t>
            </w:r>
          </w:p>
          <w:p w14:paraId="35BF1218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1 aryballo piccolino, a vern. n., con palmette a mancante dell’ansa</w:t>
            </w:r>
          </w:p>
          <w:p w14:paraId="7E25F6C9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1 fusarola a testa di spillone, di vetro, con smalti bianchi e gialli, si rinvenne presso il cubito sinistro</w:t>
            </w:r>
          </w:p>
          <w:p w14:paraId="11797595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Presso il fianco destro, erano disposti i seguenti vasetti:</w:t>
            </w:r>
          </w:p>
          <w:p w14:paraId="7BA092A4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2 kotylai tronconici, con palmette a figure rosse su fondo nero: in uno teste di satiro, nell’altro figure ammantate. Entrambi di disegno trasandato e inabile: quello con teste di satiri è in frammenti</w:t>
            </w:r>
          </w:p>
          <w:p w14:paraId="5A26A2A6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172F6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E172F6">
              <w:rPr>
                <w:rFonts w:ascii="Titillium Web" w:hAnsi="Titillium Web"/>
                <w:i/>
                <w:iCs/>
                <w:szCs w:val="24"/>
              </w:rPr>
              <w:t xml:space="preserve"> scodelle grandi, di argilla giallastra, grezze (cinque delle quali intere)</w:t>
            </w:r>
          </w:p>
          <w:p w14:paraId="173AAAED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lastRenderedPageBreak/>
              <w:t>3 idem più piccole, delle quali due frammentarie.</w:t>
            </w:r>
          </w:p>
          <w:p w14:paraId="40BBF9CC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172F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172F6">
              <w:rPr>
                <w:rFonts w:ascii="Titillium Web" w:hAnsi="Titillium Web"/>
                <w:i/>
                <w:iCs/>
                <w:szCs w:val="24"/>
              </w:rPr>
              <w:t xml:space="preserve"> piattelli apodi, di argilla idem.</w:t>
            </w:r>
          </w:p>
          <w:p w14:paraId="066AEDB1" w14:textId="77777777" w:rsidR="0089097C" w:rsidRPr="00E172F6" w:rsidRDefault="006474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72F6">
              <w:rPr>
                <w:rFonts w:ascii="Titillium Web" w:hAnsi="Titillium Web"/>
                <w:i/>
                <w:iCs/>
                <w:szCs w:val="24"/>
              </w:rPr>
              <w:t>1 piatto di argilla giallastra, grezzo, ad alto piede e intero.</w:t>
            </w:r>
          </w:p>
        </w:tc>
      </w:tr>
      <w:tr w:rsidR="0086297F" w:rsidRPr="00E172F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14F589B" w:rsidR="0086297F" w:rsidRPr="00E172F6" w:rsidRDefault="00D21E9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E9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172F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172F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172F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172F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172F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72F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172F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72F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2D45F7" w14:textId="77777777" w:rsidR="0089097C" w:rsidRPr="00E172F6" w:rsidRDefault="00647449" w:rsidP="00E172F6">
            <w:pPr>
              <w:jc w:val="center"/>
              <w:rPr>
                <w:rFonts w:ascii="Titillium Web" w:hAnsi="Titillium Web"/>
                <w:szCs w:val="24"/>
              </w:rPr>
            </w:pPr>
            <w:r w:rsidRPr="00E172F6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E172F6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13B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A529B"/>
    <w:rsid w:val="0086297F"/>
    <w:rsid w:val="0089097C"/>
    <w:rsid w:val="009E4922"/>
    <w:rsid w:val="00AB321D"/>
    <w:rsid w:val="00B165C4"/>
    <w:rsid w:val="00C21EE0"/>
    <w:rsid w:val="00D21E92"/>
    <w:rsid w:val="00D900AB"/>
    <w:rsid w:val="00D936E8"/>
    <w:rsid w:val="00E172F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2026-05-15T10:07:00Z</dcterms:modified>
</cp:coreProperties>
</file>