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872</w:t>
      </w:r>
    </w:p>
    <w:tbl>
      <w:tblPr>
        <w:tblStyle w:val="Grigliatabella"/>
        <w:tblW w:w="5000" w:type="pct"/>
        <w:jc w:val="center"/>
        <w:tblLook w:val="04A0" w:firstRow="1" w:lastRow="0" w:firstColumn="1" w:lastColumn="0" w:noHBand="0" w:noVBand="1"/>
      </w:tblPr>
      <w:tblGrid>
        <w:gridCol w:w="2990"/>
        <w:gridCol w:w="6070"/>
      </w:tblGrid>
      <w:tr w:rsidR="0086297F" w:rsidRPr="007060B0" w14:paraId="69604347" w14:textId="77777777" w:rsidTr="002665C6">
        <w:trPr>
          <w:jc w:val="center"/>
        </w:trPr>
        <w:tc>
          <w:tcPr>
            <w:tcW w:w="1650" w:type="pct"/>
            <w:vAlign w:val="center"/>
          </w:tcPr>
          <w:p w14:paraId="59258D49"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Anno di rinvenimento</w:t>
            </w:r>
          </w:p>
        </w:tc>
        <w:tc>
          <w:tcPr>
            <w:tcW w:w="3350" w:type="pct"/>
            <w:vAlign w:val="center"/>
          </w:tcPr>
          <w:p w14:paraId="10AA1E7C" w14:textId="59BFE2EE" w:rsidR="0086297F" w:rsidRPr="007060B0" w:rsidRDefault="0086297F" w:rsidP="002665C6">
            <w:pPr>
              <w:jc w:val="center"/>
              <w:rPr>
                <w:rFonts w:ascii="Titillium Web" w:hAnsi="Titillium Web"/>
                <w:szCs w:val="24"/>
              </w:rPr>
            </w:pPr>
            <w:r w:rsidRPr="007060B0">
              <w:rPr>
                <w:rFonts w:ascii="Titillium Web" w:hAnsi="Titillium Web"/>
                <w:szCs w:val="24"/>
              </w:rPr>
              <w:t>1927</w:t>
            </w:r>
          </w:p>
        </w:tc>
      </w:tr>
      <w:tr w:rsidR="0086297F" w:rsidRPr="007060B0" w14:paraId="3B6B9C62" w14:textId="77777777" w:rsidTr="002665C6">
        <w:trPr>
          <w:jc w:val="center"/>
        </w:trPr>
        <w:tc>
          <w:tcPr>
            <w:tcW w:w="1650" w:type="pct"/>
            <w:vAlign w:val="center"/>
          </w:tcPr>
          <w:p w14:paraId="2D01D888"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Stato di conservazione della tomba</w:t>
            </w:r>
          </w:p>
        </w:tc>
        <w:tc>
          <w:tcPr>
            <w:tcW w:w="3350" w:type="pct"/>
            <w:vAlign w:val="center"/>
          </w:tcPr>
          <w:p w14:paraId="3ADC95CD" w14:textId="31719CCD" w:rsidR="0086297F" w:rsidRPr="007060B0" w:rsidRDefault="0086297F" w:rsidP="002665C6">
            <w:pPr>
              <w:jc w:val="center"/>
              <w:rPr>
                <w:rFonts w:ascii="Titillium Web" w:hAnsi="Titillium Web"/>
                <w:szCs w:val="24"/>
              </w:rPr>
            </w:pPr>
            <w:r w:rsidRPr="007060B0">
              <w:rPr>
                <w:rFonts w:ascii="Titillium Web" w:hAnsi="Titillium Web"/>
                <w:szCs w:val="24"/>
              </w:rPr>
              <w:t>Intatta</w:t>
            </w:r>
          </w:p>
        </w:tc>
      </w:tr>
      <w:tr w:rsidR="0086297F" w:rsidRPr="007060B0" w14:paraId="3D165E1E" w14:textId="77777777" w:rsidTr="002665C6">
        <w:trPr>
          <w:jc w:val="center"/>
        </w:trPr>
        <w:tc>
          <w:tcPr>
            <w:tcW w:w="1650" w:type="pct"/>
            <w:vAlign w:val="center"/>
          </w:tcPr>
          <w:p w14:paraId="2A5B3D4F"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Rito di seppellimento</w:t>
            </w:r>
          </w:p>
        </w:tc>
        <w:tc>
          <w:tcPr>
            <w:tcW w:w="3350" w:type="pct"/>
            <w:vAlign w:val="center"/>
          </w:tcPr>
          <w:p w14:paraId="094BD426" w14:textId="6E99443A" w:rsidR="0086297F" w:rsidRPr="007060B0" w:rsidRDefault="0086297F" w:rsidP="002665C6">
            <w:pPr>
              <w:jc w:val="center"/>
              <w:rPr>
                <w:rFonts w:ascii="Titillium Web" w:hAnsi="Titillium Web"/>
                <w:szCs w:val="24"/>
              </w:rPr>
            </w:pPr>
            <w:r w:rsidRPr="007060B0">
              <w:rPr>
                <w:rFonts w:ascii="Titillium Web" w:hAnsi="Titillium Web"/>
                <w:szCs w:val="24"/>
              </w:rPr>
              <w:t>Inumazione</w:t>
            </w:r>
          </w:p>
        </w:tc>
      </w:tr>
      <w:tr w:rsidR="0086297F" w:rsidRPr="007060B0" w14:paraId="44CADBCB" w14:textId="77777777" w:rsidTr="002665C6">
        <w:trPr>
          <w:jc w:val="center"/>
        </w:trPr>
        <w:tc>
          <w:tcPr>
            <w:tcW w:w="1650" w:type="pct"/>
            <w:vAlign w:val="center"/>
          </w:tcPr>
          <w:p w14:paraId="1E25741A"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Struttura tomba</w:t>
            </w:r>
          </w:p>
        </w:tc>
        <w:tc>
          <w:tcPr>
            <w:tcW w:w="3350" w:type="pct"/>
            <w:vAlign w:val="center"/>
          </w:tcPr>
          <w:p w14:paraId="1DE3BCB3" w14:textId="08DB6A85" w:rsidR="0086297F" w:rsidRPr="007060B0" w:rsidRDefault="0086297F" w:rsidP="002665C6">
            <w:pPr>
              <w:jc w:val="center"/>
              <w:rPr>
                <w:rFonts w:ascii="Titillium Web" w:hAnsi="Titillium Web"/>
                <w:szCs w:val="24"/>
              </w:rPr>
            </w:pPr>
            <w:r w:rsidRPr="007060B0">
              <w:rPr>
                <w:rFonts w:ascii="Titillium Web" w:hAnsi="Titillium Web"/>
                <w:szCs w:val="24"/>
              </w:rPr>
              <w:t>fossa semplice, forma non registrata</w:t>
            </w:r>
          </w:p>
        </w:tc>
      </w:tr>
      <w:tr w:rsidR="0086297F" w:rsidRPr="007060B0" w14:paraId="47E1F943" w14:textId="77777777" w:rsidTr="002665C6">
        <w:trPr>
          <w:jc w:val="center"/>
        </w:trPr>
        <w:tc>
          <w:tcPr>
            <w:tcW w:w="1650" w:type="pct"/>
            <w:vAlign w:val="center"/>
          </w:tcPr>
          <w:p w14:paraId="355EE080"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 xml:space="preserve">Profondità dal piano di campagna </w:t>
            </w:r>
          </w:p>
        </w:tc>
        <w:tc>
          <w:tcPr>
            <w:tcW w:w="3350" w:type="pct"/>
            <w:vAlign w:val="center"/>
          </w:tcPr>
          <w:p w14:paraId="13D75B9B" w14:textId="6492371F" w:rsidR="0086297F" w:rsidRPr="007060B0" w:rsidRDefault="0086297F" w:rsidP="002665C6">
            <w:pPr>
              <w:jc w:val="center"/>
              <w:rPr>
                <w:rFonts w:ascii="Titillium Web" w:hAnsi="Titillium Web"/>
                <w:szCs w:val="24"/>
              </w:rPr>
            </w:pPr>
            <w:r w:rsidRPr="007060B0">
              <w:rPr>
                <w:rFonts w:ascii="Titillium Web" w:hAnsi="Titillium Web"/>
                <w:szCs w:val="24"/>
              </w:rPr>
              <w:t>1 m</w:t>
            </w:r>
          </w:p>
        </w:tc>
      </w:tr>
      <w:tr w:rsidR="0086297F" w:rsidRPr="007060B0" w14:paraId="75BC79FE" w14:textId="77777777" w:rsidTr="002665C6">
        <w:trPr>
          <w:jc w:val="center"/>
        </w:trPr>
        <w:tc>
          <w:tcPr>
            <w:tcW w:w="1650" w:type="pct"/>
            <w:vAlign w:val="center"/>
          </w:tcPr>
          <w:p w14:paraId="432462C5"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Dimensioni della sepoltura</w:t>
            </w:r>
          </w:p>
        </w:tc>
        <w:tc>
          <w:tcPr>
            <w:tcW w:w="3350" w:type="pct"/>
            <w:vAlign w:val="center"/>
          </w:tcPr>
          <w:p w14:paraId="65EDFAD4" w14:textId="5859930D" w:rsidR="0086297F" w:rsidRPr="007060B0" w:rsidRDefault="0086297F" w:rsidP="002665C6">
            <w:pPr>
              <w:jc w:val="center"/>
              <w:rPr>
                <w:rFonts w:ascii="Titillium Web" w:hAnsi="Titillium Web"/>
                <w:szCs w:val="24"/>
              </w:rPr>
            </w:pPr>
            <w:r w:rsidRPr="007060B0">
              <w:rPr>
                <w:rFonts w:ascii="Titillium Web" w:hAnsi="Titillium Web"/>
                <w:szCs w:val="24"/>
              </w:rPr>
              <w:t>Dimensioni non registrate</w:t>
            </w:r>
          </w:p>
        </w:tc>
      </w:tr>
      <w:tr w:rsidR="0086297F" w:rsidRPr="007060B0" w14:paraId="35E5C09E" w14:textId="77777777" w:rsidTr="002665C6">
        <w:trPr>
          <w:jc w:val="center"/>
        </w:trPr>
        <w:tc>
          <w:tcPr>
            <w:tcW w:w="1650" w:type="pct"/>
            <w:vAlign w:val="center"/>
          </w:tcPr>
          <w:p w14:paraId="5AA10374"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Orientamento dello scheletro</w:t>
            </w:r>
          </w:p>
        </w:tc>
        <w:tc>
          <w:tcPr>
            <w:tcW w:w="3350" w:type="pct"/>
            <w:vAlign w:val="center"/>
          </w:tcPr>
          <w:p w14:paraId="6E0E4E7B" w14:textId="7F6B3E0C" w:rsidR="0086297F" w:rsidRPr="007060B0" w:rsidRDefault="0086297F" w:rsidP="002665C6">
            <w:pPr>
              <w:jc w:val="center"/>
              <w:rPr>
                <w:rFonts w:ascii="Titillium Web" w:hAnsi="Titillium Web"/>
                <w:szCs w:val="24"/>
              </w:rPr>
            </w:pPr>
            <w:r w:rsidRPr="007060B0">
              <w:rPr>
                <w:rFonts w:ascii="Titillium Web" w:hAnsi="Titillium Web"/>
                <w:szCs w:val="24"/>
              </w:rPr>
              <w:t>NW-SE</w:t>
            </w:r>
          </w:p>
        </w:tc>
      </w:tr>
      <w:tr w:rsidR="0086297F" w:rsidRPr="007060B0" w14:paraId="71236441" w14:textId="77777777" w:rsidTr="002665C6">
        <w:trPr>
          <w:jc w:val="center"/>
        </w:trPr>
        <w:tc>
          <w:tcPr>
            <w:tcW w:w="1650" w:type="pct"/>
            <w:vAlign w:val="center"/>
          </w:tcPr>
          <w:p w14:paraId="4A1B31A8"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Segnacolo</w:t>
            </w:r>
          </w:p>
        </w:tc>
        <w:tc>
          <w:tcPr>
            <w:tcW w:w="3350" w:type="pct"/>
            <w:vAlign w:val="center"/>
          </w:tcPr>
          <w:p w14:paraId="104CE615" w14:textId="50385AE1" w:rsidR="0086297F" w:rsidRPr="007060B0" w:rsidRDefault="0086297F" w:rsidP="002665C6">
            <w:pPr>
              <w:jc w:val="center"/>
              <w:rPr>
                <w:rFonts w:ascii="Titillium Web" w:hAnsi="Titillium Web"/>
                <w:szCs w:val="24"/>
              </w:rPr>
            </w:pPr>
            <w:r w:rsidRPr="007060B0">
              <w:rPr>
                <w:rFonts w:ascii="Titillium Web" w:hAnsi="Titillium Web"/>
                <w:szCs w:val="24"/>
              </w:rPr>
              <w:t>/</w:t>
            </w:r>
          </w:p>
        </w:tc>
      </w:tr>
      <w:tr w:rsidR="0086297F" w:rsidRPr="007060B0" w14:paraId="6D6CBA71" w14:textId="77777777" w:rsidTr="002665C6">
        <w:trPr>
          <w:jc w:val="center"/>
        </w:trPr>
        <w:tc>
          <w:tcPr>
            <w:tcW w:w="1650" w:type="pct"/>
            <w:vAlign w:val="center"/>
          </w:tcPr>
          <w:p w14:paraId="75CA0D64"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Giornale di scavo</w:t>
            </w:r>
          </w:p>
        </w:tc>
        <w:tc>
          <w:tcPr>
            <w:tcW w:w="3350" w:type="pct"/>
            <w:vAlign w:val="center"/>
          </w:tcPr>
          <w:p w14:paraId="3E9ABE13" w14:textId="77777777" w:rsidR="000B252C" w:rsidRPr="007060B0" w:rsidRDefault="00000000">
            <w:pPr>
              <w:rPr>
                <w:rFonts w:ascii="Titillium Web" w:hAnsi="Titillium Web"/>
                <w:i/>
                <w:iCs/>
                <w:szCs w:val="24"/>
              </w:rPr>
            </w:pPr>
            <w:r w:rsidRPr="007060B0">
              <w:rPr>
                <w:rFonts w:ascii="Titillium Web" w:hAnsi="Titillium Web"/>
                <w:i/>
                <w:iCs/>
                <w:szCs w:val="24"/>
              </w:rPr>
              <w:t>Tomba 872 a umazione</w:t>
            </w:r>
          </w:p>
          <w:p w14:paraId="517AB658" w14:textId="77777777" w:rsidR="000B252C" w:rsidRPr="007060B0" w:rsidRDefault="00000000">
            <w:pPr>
              <w:rPr>
                <w:rFonts w:ascii="Titillium Web" w:hAnsi="Titillium Web"/>
                <w:i/>
                <w:iCs/>
                <w:szCs w:val="24"/>
              </w:rPr>
            </w:pPr>
            <w:r w:rsidRPr="007060B0">
              <w:rPr>
                <w:rFonts w:ascii="Titillium Web" w:hAnsi="Titillium Web"/>
                <w:i/>
                <w:iCs/>
                <w:szCs w:val="24"/>
              </w:rPr>
              <w:t>A m. 37 dal B, a m. 20 a nord della linea dei 121 m. dal D.B, a m. 1,00 di prof.tà giaceva uno scheletro orientato da NO a SE: gradi 320 circa.</w:t>
            </w:r>
          </w:p>
          <w:p w14:paraId="6BB226D5" w14:textId="77777777" w:rsidR="000B252C" w:rsidRPr="007060B0" w:rsidRDefault="00000000">
            <w:pPr>
              <w:rPr>
                <w:rFonts w:ascii="Titillium Web" w:hAnsi="Titillium Web"/>
                <w:i/>
                <w:iCs/>
                <w:szCs w:val="24"/>
              </w:rPr>
            </w:pPr>
            <w:r w:rsidRPr="007060B0">
              <w:rPr>
                <w:rFonts w:ascii="Titillium Web" w:hAnsi="Titillium Web"/>
                <w:i/>
                <w:iCs/>
                <w:szCs w:val="24"/>
              </w:rPr>
              <w:t>Presso il fianco destro, lo scheletro aveva le suppellettili seguenti:</w:t>
            </w:r>
          </w:p>
          <w:p w14:paraId="2C88A38E" w14:textId="77777777" w:rsidR="000B252C" w:rsidRPr="007060B0" w:rsidRDefault="00000000">
            <w:pPr>
              <w:rPr>
                <w:rFonts w:ascii="Titillium Web" w:hAnsi="Titillium Web"/>
                <w:i/>
                <w:iCs/>
                <w:szCs w:val="24"/>
              </w:rPr>
            </w:pPr>
            <w:r w:rsidRPr="007060B0">
              <w:rPr>
                <w:rFonts w:ascii="Titillium Web" w:hAnsi="Titillium Web"/>
                <w:i/>
                <w:iCs/>
                <w:szCs w:val="24"/>
              </w:rPr>
              <w:t>Presso la testa:</w:t>
            </w:r>
          </w:p>
          <w:p w14:paraId="10F740E7" w14:textId="77777777" w:rsidR="000B252C" w:rsidRPr="007060B0" w:rsidRDefault="00000000">
            <w:pPr>
              <w:rPr>
                <w:rFonts w:ascii="Titillium Web" w:hAnsi="Titillium Web"/>
                <w:i/>
                <w:iCs/>
                <w:szCs w:val="24"/>
              </w:rPr>
            </w:pPr>
            <w:r w:rsidRPr="007060B0">
              <w:rPr>
                <w:rFonts w:ascii="Titillium Web" w:hAnsi="Titillium Web"/>
                <w:i/>
                <w:iCs/>
                <w:szCs w:val="24"/>
              </w:rPr>
              <w:t>1 vasetto a forma di olletta, grezzo, intero: coperto da ciotolina a ver, n., intero</w:t>
            </w:r>
          </w:p>
          <w:p w14:paraId="788187E0" w14:textId="77777777" w:rsidR="000B252C" w:rsidRPr="007060B0" w:rsidRDefault="00000000">
            <w:pPr>
              <w:rPr>
                <w:rFonts w:ascii="Titillium Web" w:hAnsi="Titillium Web"/>
                <w:i/>
                <w:iCs/>
                <w:szCs w:val="24"/>
              </w:rPr>
            </w:pPr>
            <w:r w:rsidRPr="007060B0">
              <w:rPr>
                <w:rFonts w:ascii="Titillium Web" w:hAnsi="Titillium Web"/>
                <w:i/>
                <w:iCs/>
                <w:szCs w:val="24"/>
              </w:rPr>
              <w:t>2 oinochoai, a forma di fiasco l’uno, e l’altro a brocchetta con lungo collo: entrambi a bocca trilobata e a ver. n. scadente e interi</w:t>
            </w:r>
          </w:p>
          <w:p w14:paraId="1C4691CA" w14:textId="77777777" w:rsidR="000B252C" w:rsidRPr="007060B0" w:rsidRDefault="00000000">
            <w:pPr>
              <w:rPr>
                <w:rFonts w:ascii="Titillium Web" w:hAnsi="Titillium Web"/>
                <w:i/>
                <w:iCs/>
                <w:szCs w:val="24"/>
              </w:rPr>
            </w:pPr>
            <w:r w:rsidRPr="007060B0">
              <w:rPr>
                <w:rFonts w:ascii="Titillium Web" w:hAnsi="Titillium Web"/>
                <w:i/>
                <w:iCs/>
                <w:szCs w:val="24"/>
              </w:rPr>
              <w:t>1 ascox otriforme (boccalino) a vern. nera scadente; è intero e sotto il beccuccio, come fosse un fallo pendono due testicoli.</w:t>
            </w:r>
          </w:p>
          <w:p w14:paraId="5A53BE22" w14:textId="77777777" w:rsidR="000B252C" w:rsidRPr="007060B0" w:rsidRDefault="00000000">
            <w:pPr>
              <w:rPr>
                <w:rFonts w:ascii="Titillium Web" w:hAnsi="Titillium Web"/>
                <w:i/>
                <w:iCs/>
                <w:szCs w:val="24"/>
              </w:rPr>
            </w:pPr>
            <w:r w:rsidRPr="007060B0">
              <w:rPr>
                <w:rFonts w:ascii="Titillium Web" w:hAnsi="Titillium Web"/>
                <w:i/>
                <w:iCs/>
                <w:szCs w:val="24"/>
              </w:rPr>
              <w:t>2 kotylai a forma emisferica, a vern. n. scadente; entrambi in fram.ti.</w:t>
            </w:r>
          </w:p>
          <w:p w14:paraId="59B210B1" w14:textId="77777777" w:rsidR="000B252C" w:rsidRPr="007060B0" w:rsidRDefault="00000000">
            <w:pPr>
              <w:rPr>
                <w:rFonts w:ascii="Titillium Web" w:hAnsi="Titillium Web"/>
                <w:i/>
                <w:iCs/>
                <w:szCs w:val="24"/>
              </w:rPr>
            </w:pPr>
            <w:r w:rsidRPr="007060B0">
              <w:rPr>
                <w:rFonts w:ascii="Titillium Web" w:hAnsi="Titillium Web"/>
                <w:i/>
                <w:iCs/>
                <w:szCs w:val="24"/>
              </w:rPr>
              <w:t>2 altri oinochoai a vern. n.., a forma di brocchetta, con beccuccio a cartoccio verticale: uno è intero.</w:t>
            </w:r>
          </w:p>
          <w:p w14:paraId="1F37372F" w14:textId="77777777" w:rsidR="000B252C" w:rsidRPr="007060B0" w:rsidRDefault="00000000">
            <w:pPr>
              <w:rPr>
                <w:rFonts w:ascii="Titillium Web" w:hAnsi="Titillium Web"/>
                <w:i/>
                <w:iCs/>
                <w:szCs w:val="24"/>
              </w:rPr>
            </w:pPr>
            <w:r w:rsidRPr="007060B0">
              <w:rPr>
                <w:rFonts w:ascii="Titillium Web" w:hAnsi="Titillium Web"/>
                <w:i/>
                <w:iCs/>
                <w:szCs w:val="24"/>
              </w:rPr>
              <w:t>1 piatto per pesce, a vern. n. scadente: intero</w:t>
            </w:r>
          </w:p>
          <w:p w14:paraId="244CDA98" w14:textId="77777777" w:rsidR="000B252C" w:rsidRPr="007060B0" w:rsidRDefault="00000000">
            <w:pPr>
              <w:rPr>
                <w:rFonts w:ascii="Titillium Web" w:hAnsi="Titillium Web"/>
                <w:i/>
                <w:iCs/>
                <w:szCs w:val="24"/>
              </w:rPr>
            </w:pPr>
            <w:r w:rsidRPr="007060B0">
              <w:rPr>
                <w:rFonts w:ascii="Titillium Web" w:hAnsi="Titillium Web"/>
                <w:i/>
                <w:iCs/>
                <w:szCs w:val="24"/>
              </w:rPr>
              <w:t>2 piatti un po’ più piccoli, ma del tipo del precedente, a vern. n. scadente: interi</w:t>
            </w:r>
          </w:p>
          <w:p w14:paraId="336ACEDD" w14:textId="77777777" w:rsidR="000B252C" w:rsidRPr="007060B0" w:rsidRDefault="00000000">
            <w:pPr>
              <w:rPr>
                <w:rFonts w:ascii="Titillium Web" w:hAnsi="Titillium Web"/>
                <w:i/>
                <w:iCs/>
                <w:szCs w:val="24"/>
              </w:rPr>
            </w:pPr>
            <w:r w:rsidRPr="007060B0">
              <w:rPr>
                <w:rFonts w:ascii="Titillium Web" w:hAnsi="Titillium Web"/>
                <w:i/>
                <w:iCs/>
                <w:szCs w:val="24"/>
              </w:rPr>
              <w:t>6 scodelle a vern. n scadente, apode, intere</w:t>
            </w:r>
          </w:p>
          <w:p w14:paraId="238EBF5E" w14:textId="77777777" w:rsidR="000B252C" w:rsidRPr="007060B0" w:rsidRDefault="00000000">
            <w:pPr>
              <w:rPr>
                <w:rFonts w:ascii="Titillium Web" w:hAnsi="Titillium Web"/>
                <w:i/>
                <w:iCs/>
                <w:szCs w:val="24"/>
              </w:rPr>
            </w:pPr>
            <w:r w:rsidRPr="007060B0">
              <w:rPr>
                <w:rFonts w:ascii="Titillium Web" w:hAnsi="Titillium Web"/>
                <w:i/>
                <w:iCs/>
                <w:szCs w:val="24"/>
              </w:rPr>
              <w:t>1 scodella a vern. n. scadente, con peduccio.</w:t>
            </w:r>
          </w:p>
          <w:p w14:paraId="36502CC6" w14:textId="77777777" w:rsidR="000B252C" w:rsidRPr="007060B0" w:rsidRDefault="00000000">
            <w:pPr>
              <w:rPr>
                <w:rFonts w:ascii="Titillium Web" w:hAnsi="Titillium Web"/>
                <w:i/>
                <w:iCs/>
                <w:szCs w:val="24"/>
              </w:rPr>
            </w:pPr>
            <w:r w:rsidRPr="007060B0">
              <w:rPr>
                <w:rFonts w:ascii="Titillium Web" w:hAnsi="Titillium Web"/>
                <w:i/>
                <w:iCs/>
                <w:szCs w:val="24"/>
              </w:rPr>
              <w:lastRenderedPageBreak/>
              <w:t>1 scodellina a vern. n. scadente, apoda intera, la quale conserva nel rovescio le seguenti lettere grafite: [ndr: presente disegno delle lettere graffite]</w:t>
            </w:r>
          </w:p>
          <w:p w14:paraId="3CD2878A" w14:textId="77777777" w:rsidR="000B252C" w:rsidRPr="007060B0" w:rsidRDefault="00000000">
            <w:pPr>
              <w:rPr>
                <w:rFonts w:ascii="Titillium Web" w:hAnsi="Titillium Web"/>
                <w:i/>
                <w:iCs/>
                <w:szCs w:val="24"/>
              </w:rPr>
            </w:pPr>
            <w:r w:rsidRPr="007060B0">
              <w:rPr>
                <w:rFonts w:ascii="Titillium Web" w:hAnsi="Titillium Web"/>
                <w:i/>
                <w:iCs/>
                <w:szCs w:val="24"/>
              </w:rPr>
              <w:t>5 piattellini con pieduccio, a vern. n. scadente, interi</w:t>
            </w:r>
          </w:p>
          <w:p w14:paraId="73A68A47" w14:textId="77777777" w:rsidR="000B252C" w:rsidRPr="007060B0" w:rsidRDefault="00000000">
            <w:pPr>
              <w:rPr>
                <w:rFonts w:ascii="Titillium Web" w:hAnsi="Titillium Web"/>
                <w:i/>
                <w:iCs/>
                <w:szCs w:val="24"/>
              </w:rPr>
            </w:pPr>
            <w:r w:rsidRPr="007060B0">
              <w:rPr>
                <w:rFonts w:ascii="Titillium Web" w:hAnsi="Titillium Web"/>
                <w:i/>
                <w:iCs/>
                <w:szCs w:val="24"/>
              </w:rPr>
              <w:t>Presso i piedi dello scheletro, a destra:</w:t>
            </w:r>
          </w:p>
          <w:p w14:paraId="5713BB21" w14:textId="77777777" w:rsidR="000B252C" w:rsidRPr="007060B0" w:rsidRDefault="00000000">
            <w:pPr>
              <w:rPr>
                <w:rFonts w:ascii="Titillium Web" w:hAnsi="Titillium Web"/>
                <w:i/>
                <w:iCs/>
                <w:szCs w:val="24"/>
              </w:rPr>
            </w:pPr>
            <w:r w:rsidRPr="007060B0">
              <w:rPr>
                <w:rFonts w:ascii="Titillium Web" w:hAnsi="Titillium Web"/>
                <w:i/>
                <w:iCs/>
                <w:szCs w:val="24"/>
              </w:rPr>
              <w:t>1 grande oinochoe a forma di fiasco, di argilla giallastra con tinta bruna e disegni di palmette di spirali e di testone - è intero</w:t>
            </w:r>
          </w:p>
          <w:p w14:paraId="2AFECC36" w14:textId="77777777" w:rsidR="000B252C" w:rsidRPr="007060B0" w:rsidRDefault="00000000">
            <w:pPr>
              <w:rPr>
                <w:rFonts w:ascii="Titillium Web" w:hAnsi="Titillium Web"/>
                <w:i/>
                <w:iCs/>
                <w:szCs w:val="24"/>
              </w:rPr>
            </w:pPr>
            <w:r w:rsidRPr="007060B0">
              <w:rPr>
                <w:rFonts w:ascii="Titillium Web" w:hAnsi="Titillium Web"/>
                <w:i/>
                <w:iCs/>
                <w:szCs w:val="24"/>
              </w:rPr>
              <w:t>Nella destra dello scheletro era:</w:t>
            </w:r>
          </w:p>
          <w:p w14:paraId="0BED0AB0" w14:textId="77777777" w:rsidR="000B252C" w:rsidRPr="007060B0" w:rsidRDefault="00000000">
            <w:pPr>
              <w:rPr>
                <w:rFonts w:ascii="Titillium Web" w:hAnsi="Titillium Web"/>
                <w:i/>
                <w:iCs/>
                <w:szCs w:val="24"/>
              </w:rPr>
            </w:pPr>
            <w:r w:rsidRPr="007060B0">
              <w:rPr>
                <w:rFonts w:ascii="Titillium Web" w:hAnsi="Titillium Web"/>
                <w:i/>
                <w:iCs/>
                <w:szCs w:val="24"/>
              </w:rPr>
              <w:t>1 frammento informe di bronzo.</w:t>
            </w:r>
          </w:p>
          <w:p w14:paraId="1FBFB7F7" w14:textId="77777777" w:rsidR="000B252C" w:rsidRPr="007060B0" w:rsidRDefault="00000000">
            <w:pPr>
              <w:rPr>
                <w:rFonts w:ascii="Titillium Web" w:hAnsi="Titillium Web"/>
                <w:i/>
                <w:iCs/>
                <w:szCs w:val="24"/>
              </w:rPr>
            </w:pPr>
            <w:r w:rsidRPr="007060B0">
              <w:rPr>
                <w:rFonts w:ascii="Titillium Web" w:hAnsi="Titillium Web"/>
                <w:i/>
                <w:iCs/>
                <w:szCs w:val="24"/>
              </w:rPr>
              <w:t>Sperduti, senza scheletro, ne ossa combuste. Dopo disfatte (esplorate e raccolte) queste tombe descritte, nel praticare il sondaggio per assicurarmi che più abbasso, sepolti non vi siano più oggetti, a m. 0,25 circa di profondità, sotto al piano della T. 872, si rinvennero:</w:t>
            </w:r>
          </w:p>
          <w:p w14:paraId="190130C9" w14:textId="77777777" w:rsidR="000B252C" w:rsidRPr="007060B0" w:rsidRDefault="00000000">
            <w:pPr>
              <w:rPr>
                <w:rFonts w:ascii="Titillium Web" w:hAnsi="Titillium Web"/>
                <w:i/>
                <w:iCs/>
                <w:szCs w:val="24"/>
              </w:rPr>
            </w:pPr>
            <w:r w:rsidRPr="007060B0">
              <w:rPr>
                <w:rFonts w:ascii="Titillium Web" w:hAnsi="Titillium Web"/>
                <w:i/>
                <w:iCs/>
                <w:szCs w:val="24"/>
              </w:rPr>
              <w:t>1 vasettino di forma skyphoide, di argilla cenerognola, con il piede fatto di 4 piccole protuberanze o cornetti, a modo di zampe. Sotto l’orlo, attorno al corpo del vaso girano fascie di denti di lupo, incavati nello spessore dell’argilla. Si ravvisa ai vasi dei sepolcreti villanoviani sia per la forma che per la decorazione: è intero.</w:t>
            </w:r>
          </w:p>
          <w:p w14:paraId="5DB94F62" w14:textId="77777777" w:rsidR="000B252C" w:rsidRPr="007060B0" w:rsidRDefault="00000000">
            <w:pPr>
              <w:rPr>
                <w:rFonts w:ascii="Titillium Web" w:hAnsi="Titillium Web"/>
                <w:i/>
                <w:iCs/>
                <w:szCs w:val="24"/>
              </w:rPr>
            </w:pPr>
            <w:r w:rsidRPr="007060B0">
              <w:rPr>
                <w:rFonts w:ascii="Titillium Web" w:hAnsi="Titillium Web"/>
                <w:i/>
                <w:iCs/>
                <w:szCs w:val="24"/>
              </w:rPr>
              <w:t>1 mezza tazzetta di argilla eguale al precedente, marcita e che rammenta assai da vicino le tazzette della epoca villanoviana, sia per l’impasto rozzo e male cotto, sia per la forma, ecc....</w:t>
            </w:r>
          </w:p>
        </w:tc>
      </w:tr>
      <w:tr w:rsidR="0086297F" w:rsidRPr="007060B0" w14:paraId="1429C2F3" w14:textId="77777777" w:rsidTr="002665C6">
        <w:trPr>
          <w:jc w:val="center"/>
        </w:trPr>
        <w:tc>
          <w:tcPr>
            <w:tcW w:w="1650" w:type="pct"/>
            <w:vAlign w:val="center"/>
          </w:tcPr>
          <w:p w14:paraId="7F398080"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lastRenderedPageBreak/>
              <w:t>Posizione del corredo</w:t>
            </w:r>
          </w:p>
        </w:tc>
        <w:tc>
          <w:tcPr>
            <w:tcW w:w="3350" w:type="pct"/>
            <w:vAlign w:val="center"/>
          </w:tcPr>
          <w:p w14:paraId="5C03ADA7" w14:textId="7BF3AD8D" w:rsidR="0086297F" w:rsidRPr="007060B0" w:rsidRDefault="0086297F" w:rsidP="002665C6">
            <w:pPr>
              <w:jc w:val="center"/>
              <w:rPr>
                <w:rFonts w:ascii="Titillium Web" w:hAnsi="Titillium Web"/>
                <w:szCs w:val="24"/>
              </w:rPr>
            </w:pPr>
            <w:r w:rsidRPr="007060B0">
              <w:rPr>
                <w:rFonts w:ascii="Titillium Web" w:hAnsi="Titillium Web"/>
                <w:szCs w:val="24"/>
              </w:rPr>
              <w:t>Fianco destro</w:t>
            </w:r>
          </w:p>
        </w:tc>
      </w:tr>
      <w:tr w:rsidR="0086297F" w:rsidRPr="007060B0" w14:paraId="71A0E4AF" w14:textId="77777777" w:rsidTr="002665C6">
        <w:trPr>
          <w:jc w:val="center"/>
        </w:trPr>
        <w:tc>
          <w:tcPr>
            <w:tcW w:w="1650" w:type="pct"/>
            <w:vAlign w:val="center"/>
          </w:tcPr>
          <w:p w14:paraId="2128B19B"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Genere (legato all’analisi del corredo)</w:t>
            </w:r>
          </w:p>
        </w:tc>
        <w:tc>
          <w:tcPr>
            <w:tcW w:w="3350" w:type="pct"/>
            <w:vAlign w:val="center"/>
          </w:tcPr>
          <w:p w14:paraId="31324C2B" w14:textId="4E55E405" w:rsidR="0086297F" w:rsidRPr="007060B0" w:rsidRDefault="0086297F" w:rsidP="002665C6">
            <w:pPr>
              <w:jc w:val="center"/>
              <w:rPr>
                <w:rFonts w:ascii="Titillium Web" w:hAnsi="Titillium Web"/>
                <w:szCs w:val="24"/>
              </w:rPr>
            </w:pPr>
            <w:r w:rsidRPr="007060B0">
              <w:rPr>
                <w:rFonts w:ascii="Titillium Web" w:hAnsi="Titillium Web"/>
                <w:szCs w:val="24"/>
              </w:rPr>
              <w:t>Non determinabile</w:t>
            </w:r>
          </w:p>
        </w:tc>
      </w:tr>
      <w:tr w:rsidR="0086297F" w:rsidRPr="007060B0" w14:paraId="17633947" w14:textId="77777777" w:rsidTr="002665C6">
        <w:trPr>
          <w:jc w:val="center"/>
        </w:trPr>
        <w:tc>
          <w:tcPr>
            <w:tcW w:w="1650" w:type="pct"/>
            <w:vAlign w:val="center"/>
          </w:tcPr>
          <w:p w14:paraId="44721053"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Sesso (legato alle analisi antropologiche)</w:t>
            </w:r>
          </w:p>
        </w:tc>
        <w:tc>
          <w:tcPr>
            <w:tcW w:w="3350" w:type="pct"/>
            <w:vAlign w:val="center"/>
          </w:tcPr>
          <w:p w14:paraId="66E918A4" w14:textId="50197FF0" w:rsidR="0086297F" w:rsidRPr="007060B0" w:rsidRDefault="0086297F" w:rsidP="002665C6">
            <w:pPr>
              <w:jc w:val="center"/>
              <w:rPr>
                <w:rFonts w:ascii="Titillium Web" w:hAnsi="Titillium Web"/>
                <w:szCs w:val="24"/>
              </w:rPr>
            </w:pPr>
            <w:r w:rsidRPr="007060B0">
              <w:rPr>
                <w:rFonts w:ascii="Titillium Web" w:hAnsi="Titillium Web"/>
                <w:szCs w:val="24"/>
              </w:rPr>
              <w:t>Non determinabile</w:t>
            </w:r>
          </w:p>
        </w:tc>
      </w:tr>
      <w:tr w:rsidR="0086297F" w:rsidRPr="007060B0" w14:paraId="0588946D" w14:textId="77777777" w:rsidTr="002665C6">
        <w:trPr>
          <w:jc w:val="center"/>
        </w:trPr>
        <w:tc>
          <w:tcPr>
            <w:tcW w:w="1650" w:type="pct"/>
            <w:vAlign w:val="center"/>
          </w:tcPr>
          <w:p w14:paraId="54990945"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Classi di età</w:t>
            </w:r>
          </w:p>
        </w:tc>
        <w:tc>
          <w:tcPr>
            <w:tcW w:w="3350" w:type="pct"/>
            <w:vAlign w:val="center"/>
          </w:tcPr>
          <w:p w14:paraId="0E0589EA" w14:textId="7D4DF825" w:rsidR="0086297F" w:rsidRPr="007060B0" w:rsidRDefault="0086297F" w:rsidP="002665C6">
            <w:pPr>
              <w:jc w:val="center"/>
              <w:rPr>
                <w:rFonts w:ascii="Titillium Web" w:hAnsi="Titillium Web"/>
                <w:szCs w:val="24"/>
              </w:rPr>
            </w:pPr>
            <w:r w:rsidRPr="007060B0">
              <w:rPr>
                <w:rFonts w:ascii="Titillium Web" w:hAnsi="Titillium Web"/>
                <w:szCs w:val="24"/>
              </w:rPr>
              <w:t>Adulto ?</w:t>
            </w:r>
          </w:p>
        </w:tc>
      </w:tr>
      <w:tr w:rsidR="0086297F" w:rsidRPr="007060B0" w14:paraId="1FFA88A1" w14:textId="77777777" w:rsidTr="002665C6">
        <w:trPr>
          <w:jc w:val="center"/>
        </w:trPr>
        <w:tc>
          <w:tcPr>
            <w:tcW w:w="1650" w:type="pct"/>
            <w:vAlign w:val="center"/>
          </w:tcPr>
          <w:p w14:paraId="63B2D8D6" w14:textId="77777777" w:rsidR="0086297F" w:rsidRPr="007060B0" w:rsidRDefault="0086297F" w:rsidP="002665C6">
            <w:pPr>
              <w:jc w:val="center"/>
              <w:rPr>
                <w:rFonts w:ascii="Titillium Web" w:hAnsi="Titillium Web"/>
                <w:smallCaps/>
                <w:szCs w:val="24"/>
              </w:rPr>
            </w:pPr>
            <w:r w:rsidRPr="007060B0">
              <w:rPr>
                <w:rFonts w:ascii="Titillium Web" w:hAnsi="Titillium Web"/>
                <w:smallCaps/>
                <w:szCs w:val="24"/>
              </w:rPr>
              <w:t>Bibliografia essenziale</w:t>
            </w:r>
          </w:p>
        </w:tc>
        <w:tc>
          <w:tcPr>
            <w:tcW w:w="3350" w:type="pct"/>
            <w:vAlign w:val="center"/>
          </w:tcPr>
          <w:p w14:paraId="29273D91" w14:textId="77777777" w:rsidR="000B252C" w:rsidRPr="007060B0" w:rsidRDefault="00000000" w:rsidP="007060B0">
            <w:pPr>
              <w:jc w:val="center"/>
              <w:rPr>
                <w:rFonts w:ascii="Titillium Web" w:hAnsi="Titillium Web"/>
                <w:szCs w:val="24"/>
              </w:rPr>
            </w:pPr>
            <w:r w:rsidRPr="007060B0">
              <w:rPr>
                <w:rFonts w:ascii="Titillium Web" w:eastAsia="Titillium" w:hAnsi="Titillium Web" w:cs="Titillium"/>
                <w:smallCaps/>
                <w:szCs w:val="24"/>
              </w:rPr>
              <w:t>Pozzi</w:t>
            </w:r>
            <w:r w:rsidRPr="007060B0">
              <w:rPr>
                <w:rFonts w:ascii="Titillium Web" w:eastAsia="Titillium" w:hAnsi="Titillium Web" w:cs="Titillium"/>
                <w:szCs w:val="24"/>
              </w:rPr>
              <w:t xml:space="preserve"> 2011; </w:t>
            </w:r>
            <w:r w:rsidRPr="007060B0">
              <w:rPr>
                <w:rFonts w:ascii="Titillium Web" w:eastAsia="Titillium" w:hAnsi="Titillium Web" w:cs="Titillium"/>
                <w:smallCaps/>
                <w:szCs w:val="24"/>
              </w:rPr>
              <w:t>Natalucci</w:t>
            </w:r>
            <w:r w:rsidRPr="007060B0">
              <w:rPr>
                <w:rFonts w:ascii="Titillium Web" w:eastAsia="Titillium" w:hAnsi="Titillium Web" w:cs="Titillium"/>
                <w:szCs w:val="24"/>
              </w:rPr>
              <w:t xml:space="preserve"> 2014-2015; </w:t>
            </w:r>
            <w:r w:rsidRPr="007060B0">
              <w:rPr>
                <w:rFonts w:ascii="Titillium Web" w:eastAsia="Titillium" w:hAnsi="Titillium Web" w:cs="Titillium"/>
                <w:smallCaps/>
                <w:szCs w:val="24"/>
              </w:rPr>
              <w:t>Gaucci</w:t>
            </w:r>
            <w:r w:rsidRPr="007060B0">
              <w:rPr>
                <w:rFonts w:ascii="Titillium Web" w:eastAsia="Titillium" w:hAnsi="Titillium Web" w:cs="Titillium"/>
                <w:szCs w:val="24"/>
              </w:rPr>
              <w:t xml:space="preserve"> in </w:t>
            </w:r>
            <w:r w:rsidRPr="007060B0">
              <w:rPr>
                <w:rFonts w:ascii="Titillium Web" w:eastAsia="Titillium" w:hAnsi="Titillium Web" w:cs="Titillium"/>
                <w:i/>
                <w:iCs/>
                <w:szCs w:val="24"/>
              </w:rPr>
              <w:t>Spina</w:t>
            </w:r>
            <w:r w:rsidRPr="007060B0">
              <w:rPr>
                <w:rFonts w:ascii="Titillium Web" w:eastAsia="Titillium" w:hAnsi="Titillium Web" w:cs="Titillium"/>
                <w:szCs w:val="24"/>
              </w:rPr>
              <w:t xml:space="preserve"> 2023, p. 405</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B252C"/>
    <w:rsid w:val="000D72F4"/>
    <w:rsid w:val="001C17CC"/>
    <w:rsid w:val="002977D7"/>
    <w:rsid w:val="00472AF4"/>
    <w:rsid w:val="00551AF8"/>
    <w:rsid w:val="005B5AFF"/>
    <w:rsid w:val="006162A4"/>
    <w:rsid w:val="006346F7"/>
    <w:rsid w:val="006D6EFB"/>
    <w:rsid w:val="007060B0"/>
    <w:rsid w:val="007145BC"/>
    <w:rsid w:val="0086297F"/>
    <w:rsid w:val="009E4922"/>
    <w:rsid w:val="00AB321D"/>
    <w:rsid w:val="00B165C4"/>
    <w:rsid w:val="00B620BC"/>
    <w:rsid w:val="00C21EE0"/>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2026-05-14T15:12:00Z</dcterms:modified>
</cp:coreProperties>
</file>