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882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6525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652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25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652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25D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6525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652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25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652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25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6525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652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25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652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25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6525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652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25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652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25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6525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652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25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652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25D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F6525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652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25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652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25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6525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652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25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652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25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6525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652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25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652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25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6525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652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25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85EF228" w14:textId="77777777" w:rsidR="0035199B" w:rsidRPr="00F6525D" w:rsidRDefault="00E33C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525D">
              <w:rPr>
                <w:rFonts w:ascii="Titillium Web" w:hAnsi="Titillium Web"/>
                <w:i/>
                <w:iCs/>
                <w:szCs w:val="24"/>
              </w:rPr>
              <w:t>Tomba 882 a cremazione</w:t>
            </w:r>
          </w:p>
          <w:p w14:paraId="0D7CB51D" w14:textId="77777777" w:rsidR="0035199B" w:rsidRPr="00F6525D" w:rsidRDefault="00E33C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525D">
              <w:rPr>
                <w:rFonts w:ascii="Titillium Web" w:hAnsi="Titillium Web"/>
                <w:i/>
                <w:iCs/>
                <w:szCs w:val="24"/>
              </w:rPr>
              <w:t>A m. 43,60 dal B, a m. 21 a nord della linea di scavo, a m. 0,85 di profondità poggiava:</w:t>
            </w:r>
          </w:p>
          <w:p w14:paraId="043CBF14" w14:textId="77777777" w:rsidR="0035199B" w:rsidRPr="00F6525D" w:rsidRDefault="00E33C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525D">
              <w:rPr>
                <w:rFonts w:ascii="Titillium Web" w:hAnsi="Titillium Web"/>
                <w:i/>
                <w:iCs/>
                <w:szCs w:val="24"/>
              </w:rPr>
              <w:t>1 doliaccio marcito, di impasto rozzo, male cotto, di argilla brunastra, schiacciato e marcito. (non raccolto.)</w:t>
            </w:r>
          </w:p>
          <w:p w14:paraId="297B15D1" w14:textId="77777777" w:rsidR="0035199B" w:rsidRPr="00F6525D" w:rsidRDefault="00E33C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525D">
              <w:rPr>
                <w:rFonts w:ascii="Titillium Web" w:hAnsi="Titillium Web"/>
                <w:i/>
                <w:iCs/>
                <w:szCs w:val="24"/>
              </w:rPr>
              <w:t>Conteneva le ossa combuste e</w:t>
            </w:r>
          </w:p>
          <w:p w14:paraId="7200CB90" w14:textId="77777777" w:rsidR="0035199B" w:rsidRPr="00F6525D" w:rsidRDefault="00E33C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525D">
              <w:rPr>
                <w:rFonts w:ascii="Titillium Web" w:hAnsi="Titillium Web"/>
                <w:i/>
                <w:iCs/>
                <w:szCs w:val="24"/>
              </w:rPr>
              <w:t>1 oinochoe a bocca trilobata, a forma di fiasco, con disegni di palmette e testone.</w:t>
            </w:r>
          </w:p>
          <w:p w14:paraId="238E4EF2" w14:textId="77777777" w:rsidR="0035199B" w:rsidRPr="00F6525D" w:rsidRDefault="00E33C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525D">
              <w:rPr>
                <w:rFonts w:ascii="Titillium Web" w:hAnsi="Titillium Web"/>
                <w:i/>
                <w:iCs/>
                <w:szCs w:val="24"/>
              </w:rPr>
              <w:t>È di argilla giallo chiara.</w:t>
            </w:r>
          </w:p>
        </w:tc>
      </w:tr>
      <w:tr w:rsidR="0086297F" w:rsidRPr="00F6525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652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25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652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25D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F6525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652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25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652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25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6525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652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25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652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25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6525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652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25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652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25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6525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652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25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57768AA" w14:textId="77777777" w:rsidR="0035199B" w:rsidRPr="00F6525D" w:rsidRDefault="00E33C8B" w:rsidP="00F6525D">
            <w:pPr>
              <w:jc w:val="center"/>
              <w:rPr>
                <w:rFonts w:ascii="Titillium Web" w:hAnsi="Titillium Web"/>
                <w:szCs w:val="24"/>
              </w:rPr>
            </w:pPr>
            <w:r w:rsidRPr="00F6525D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F6525D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5199B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12FCB"/>
    <w:rsid w:val="00F6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2026-05-14T15:05:00Z</dcterms:modified>
</cp:coreProperties>
</file>