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885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A387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A38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87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A38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387B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A387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A38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87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A38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387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A387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A38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87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A38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387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0A387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A38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87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A38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387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0A387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A38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87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A38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387B">
              <w:rPr>
                <w:rFonts w:ascii="Titillium Web" w:hAnsi="Titillium Web"/>
                <w:szCs w:val="24"/>
              </w:rPr>
              <w:t>0,62 m</w:t>
            </w:r>
          </w:p>
        </w:tc>
      </w:tr>
      <w:tr w:rsidR="0086297F" w:rsidRPr="000A387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A38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87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A38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387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A387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A38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87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A38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387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A387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A38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87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A38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387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A387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A38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87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218ECD4" w14:textId="77777777" w:rsidR="000B3ACC" w:rsidRPr="000A387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387B">
              <w:rPr>
                <w:rFonts w:ascii="Titillium Web" w:hAnsi="Titillium Web"/>
                <w:i/>
                <w:iCs/>
                <w:szCs w:val="24"/>
              </w:rPr>
              <w:t>Tomba 885 a cremazione</w:t>
            </w:r>
          </w:p>
          <w:p w14:paraId="41428364" w14:textId="77777777" w:rsidR="000B3ACC" w:rsidRPr="000A387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387B">
              <w:rPr>
                <w:rFonts w:ascii="Titillium Web" w:hAnsi="Titillium Web"/>
                <w:i/>
                <w:iCs/>
                <w:szCs w:val="24"/>
              </w:rPr>
              <w:t>A m. 34 dal B, a m. 22 a nord della linea di scavo, a m. 0,62 di profondità poggiava un gruppetto di vasetti così disposti: a sud,</w:t>
            </w:r>
          </w:p>
          <w:p w14:paraId="2FB76F44" w14:textId="77777777" w:rsidR="000B3ACC" w:rsidRPr="000A387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387B">
              <w:rPr>
                <w:rFonts w:ascii="Titillium Web" w:hAnsi="Titillium Web"/>
                <w:i/>
                <w:iCs/>
                <w:szCs w:val="24"/>
              </w:rPr>
              <w:t>1 anfora vinaria, pontuta, grezza (non raccolta poiché al momento dello scavo andò in pezzi, essendo tutta crepata e marcita)</w:t>
            </w:r>
          </w:p>
          <w:p w14:paraId="2B3458AC" w14:textId="77777777" w:rsidR="000B3ACC" w:rsidRPr="000A387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387B">
              <w:rPr>
                <w:rFonts w:ascii="Titillium Web" w:hAnsi="Titillium Web"/>
                <w:i/>
                <w:iCs/>
                <w:szCs w:val="24"/>
              </w:rPr>
              <w:t>A lev. dell’anfora era</w:t>
            </w:r>
          </w:p>
          <w:p w14:paraId="123A9794" w14:textId="77777777" w:rsidR="000B3ACC" w:rsidRPr="000A387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387B">
              <w:rPr>
                <w:rFonts w:ascii="Titillium Web" w:hAnsi="Titillium Web"/>
                <w:i/>
                <w:iCs/>
                <w:szCs w:val="24"/>
              </w:rPr>
              <w:t>1 piccolo oinocoe a forma di fiaschetta, con bocca a cartoccio e a vern. nera scadente: intera</w:t>
            </w:r>
          </w:p>
          <w:p w14:paraId="6CD5BB1D" w14:textId="77777777" w:rsidR="000B3ACC" w:rsidRPr="000A387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387B">
              <w:rPr>
                <w:rFonts w:ascii="Titillium Web" w:hAnsi="Titillium Web"/>
                <w:i/>
                <w:iCs/>
                <w:szCs w:val="24"/>
              </w:rPr>
              <w:t>a ponente dell’anfora erano</w:t>
            </w:r>
          </w:p>
          <w:p w14:paraId="5E784A22" w14:textId="77777777" w:rsidR="000B3ACC" w:rsidRPr="000A387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387B">
              <w:rPr>
                <w:rFonts w:ascii="Titillium Web" w:hAnsi="Titillium Web"/>
                <w:i/>
                <w:iCs/>
                <w:szCs w:val="24"/>
              </w:rPr>
              <w:t>2 scodelle a vern. nera, intere e liscie</w:t>
            </w:r>
          </w:p>
          <w:p w14:paraId="47C0EB45" w14:textId="77777777" w:rsidR="000B3ACC" w:rsidRPr="000A387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387B">
              <w:rPr>
                <w:rFonts w:ascii="Titillium Web" w:hAnsi="Titillium Web"/>
                <w:i/>
                <w:iCs/>
                <w:szCs w:val="24"/>
              </w:rPr>
              <w:t>a nord dell’anfora:</w:t>
            </w:r>
          </w:p>
          <w:p w14:paraId="4F0E85A4" w14:textId="77777777" w:rsidR="000B3ACC" w:rsidRPr="000A387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387B">
              <w:rPr>
                <w:rFonts w:ascii="Titillium Web" w:hAnsi="Titillium Web"/>
                <w:i/>
                <w:iCs/>
                <w:szCs w:val="24"/>
              </w:rPr>
              <w:t>1 dolietto di argilla cenere scura, di forma panciuta, marcito e schiacciato, entro al quale si rinvennero le ossa combuste.</w:t>
            </w:r>
          </w:p>
          <w:p w14:paraId="7B29BAAB" w14:textId="77777777" w:rsidR="000B3ACC" w:rsidRPr="000A387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387B">
              <w:rPr>
                <w:rFonts w:ascii="Titillium Web" w:hAnsi="Titillium Web"/>
                <w:i/>
                <w:iCs/>
                <w:szCs w:val="24"/>
              </w:rPr>
              <w:t>Era coperto da una ciotola di argilla cenerognola anch’essa marcita.</w:t>
            </w:r>
          </w:p>
          <w:p w14:paraId="0AEB2703" w14:textId="77777777" w:rsidR="000B3ACC" w:rsidRPr="000A387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387B">
              <w:rPr>
                <w:rFonts w:ascii="Titillium Web" w:hAnsi="Titillium Web"/>
                <w:i/>
                <w:iCs/>
                <w:szCs w:val="24"/>
              </w:rPr>
              <w:t>Nulla si raccolse -</w:t>
            </w:r>
          </w:p>
        </w:tc>
      </w:tr>
      <w:tr w:rsidR="0086297F" w:rsidRPr="000A387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A38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87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A38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387B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0A387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A38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87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A38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387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A387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A38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87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A38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387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A387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A38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87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A38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387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A387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A38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87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A445F59" w14:textId="77777777" w:rsidR="000B3ACC" w:rsidRPr="000A387B" w:rsidRDefault="00000000" w:rsidP="000A387B">
            <w:pPr>
              <w:jc w:val="center"/>
              <w:rPr>
                <w:rFonts w:ascii="Titillium Web" w:hAnsi="Titillium Web"/>
                <w:szCs w:val="24"/>
              </w:rPr>
            </w:pPr>
            <w:r w:rsidRPr="000A387B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0A387B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A387B"/>
    <w:rsid w:val="000B3ACC"/>
    <w:rsid w:val="000C06C5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2026-05-14T15:03:00Z</dcterms:modified>
</cp:coreProperties>
</file>