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0716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0716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0716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0716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0716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0,92 m</w:t>
            </w:r>
          </w:p>
        </w:tc>
      </w:tr>
      <w:tr w:rsidR="0086297F" w:rsidRPr="00C0716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0716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C0716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0716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E7934AB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Tomba 888 a umazione</w:t>
            </w:r>
          </w:p>
          <w:p w14:paraId="5AE62D08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A m 23,30 dal B, a m 0,50 a nord della linea ideale (a m. 355 dal D.B.) a m. 0,92 di prof.tà giacevano gli avanzi di 1 scheletro marcito.</w:t>
            </w:r>
          </w:p>
          <w:p w14:paraId="4B5A6C7D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 xml:space="preserve">Era orientato da NO a </w:t>
            </w:r>
            <w:proofErr w:type="gramStart"/>
            <w:r w:rsidRPr="00C0716E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C0716E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6700D66B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A destra dello scheletro erano i seguenti fittili:</w:t>
            </w:r>
          </w:p>
          <w:p w14:paraId="262EAD00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1 piccolissimo dolietto con coperchio, di argilla grezza, giallastra e verniciato a righe (vern. diluita) attorno al corpo e qualche pennellata che avrà voluto essere una palmetta sulla spalla.</w:t>
            </w:r>
          </w:p>
          <w:p w14:paraId="67AFA294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È intero ed è ermeticamente chiuso poiché la concrezione calcarea ha cementato il coperchio sulla bocca del vaso.</w:t>
            </w:r>
          </w:p>
          <w:p w14:paraId="57FCEFD7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2 oinochoai a forma di fiasca, con bocca trilobata e a vernice nera scadente. Uno è leggermente slabbrato.</w:t>
            </w:r>
          </w:p>
          <w:p w14:paraId="1D89F069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1 kotylos piccolo, emisferico, a vern. n. scadente, intero: ha un’ansa staccata</w:t>
            </w:r>
          </w:p>
          <w:p w14:paraId="4FD8B5CC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16E">
              <w:rPr>
                <w:rFonts w:ascii="Titillium Web" w:hAnsi="Titillium Web"/>
                <w:i/>
                <w:iCs/>
                <w:szCs w:val="24"/>
              </w:rPr>
              <w:t>1 guttus otriforme, a vern. nera scadente, intero</w:t>
            </w:r>
          </w:p>
          <w:p w14:paraId="47C34227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716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0716E">
              <w:rPr>
                <w:rFonts w:ascii="Titillium Web" w:hAnsi="Titillium Web"/>
                <w:i/>
                <w:iCs/>
                <w:szCs w:val="24"/>
              </w:rPr>
              <w:t xml:space="preserve"> scodelline a vern. n. scadente: intere</w:t>
            </w:r>
          </w:p>
          <w:p w14:paraId="28CDB35A" w14:textId="77777777" w:rsidR="0076584F" w:rsidRPr="00C0716E" w:rsidRDefault="00E540B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716E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C0716E">
              <w:rPr>
                <w:rFonts w:ascii="Titillium Web" w:hAnsi="Titillium Web"/>
                <w:i/>
                <w:iCs/>
                <w:szCs w:val="24"/>
              </w:rPr>
              <w:t xml:space="preserve"> piattelli con pieduccio a vern. n. scadente</w:t>
            </w:r>
          </w:p>
        </w:tc>
      </w:tr>
      <w:tr w:rsidR="0086297F" w:rsidRPr="00C0716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0716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0716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16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071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16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071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16E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76664DB9" w14:textId="77777777" w:rsidR="0076584F" w:rsidRPr="00C0716E" w:rsidRDefault="00E540B5" w:rsidP="00C0716E">
            <w:pPr>
              <w:jc w:val="center"/>
              <w:rPr>
                <w:rFonts w:ascii="Titillium Web" w:hAnsi="Titillium Web"/>
                <w:szCs w:val="24"/>
              </w:rPr>
            </w:pPr>
            <w:r w:rsidRPr="00C0716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0716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3CFB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584F"/>
    <w:rsid w:val="0086297F"/>
    <w:rsid w:val="009E4922"/>
    <w:rsid w:val="00AB321D"/>
    <w:rsid w:val="00B165C4"/>
    <w:rsid w:val="00C0716E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2026-05-14T15:00:00Z</dcterms:modified>
</cp:coreProperties>
</file>