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896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2251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2251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2251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92251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92251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0,9 m</w:t>
            </w:r>
          </w:p>
        </w:tc>
      </w:tr>
      <w:tr w:rsidR="0086297F" w:rsidRPr="0092251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2251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92251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2251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1C6EE13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Tomba 896 a umazione.</w:t>
            </w:r>
          </w:p>
          <w:p w14:paraId="47A7F3EB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A m. 36,50 dal B, a m. 24,20 a nord della linea di scavo, a m. 0,90 di prof.tà giaceva:</w:t>
            </w:r>
          </w:p>
          <w:p w14:paraId="11454DE0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1 scheletro di persona giovanissima (18 0 20 anni) e questo si poté determinare, all’incirca, dalle pareti del cranio che erano sottilissime, e dai denti e dalle ossa.</w:t>
            </w:r>
          </w:p>
          <w:p w14:paraId="2AC94A24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 xml:space="preserve">È orientato da NO a </w:t>
            </w:r>
            <w:proofErr w:type="gramStart"/>
            <w:r w:rsidRPr="00922517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922517">
              <w:rPr>
                <w:rFonts w:ascii="Titillium Web" w:hAnsi="Titillium Web"/>
                <w:i/>
                <w:iCs/>
                <w:szCs w:val="24"/>
              </w:rPr>
              <w:t>.: gradi 330</w:t>
            </w:r>
          </w:p>
          <w:p w14:paraId="072E10A9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Presso il fianco destro dello scheletro si raccolsero:</w:t>
            </w:r>
          </w:p>
          <w:p w14:paraId="0D41E51C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2 kotylai piccoli a forma emisferica, a vernice nera scadente: interi.</w:t>
            </w:r>
          </w:p>
          <w:p w14:paraId="33FF221D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22517">
              <w:rPr>
                <w:rFonts w:ascii="Titillium Web" w:hAnsi="Titillium Web"/>
                <w:i/>
                <w:iCs/>
                <w:szCs w:val="24"/>
              </w:rPr>
              <w:t>2 oinochoai a forma di fiasco, con bocca trilobata e ansa verticale; uno ha l’ansa a cordone attorcigliata (è staccata), l’altro ha costolature bipartite. Entrambi a vern. nera scadente, interi.</w:t>
            </w:r>
          </w:p>
          <w:p w14:paraId="5DCC7C30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22517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922517">
              <w:rPr>
                <w:rFonts w:ascii="Titillium Web" w:hAnsi="Titillium Web"/>
                <w:i/>
                <w:iCs/>
                <w:szCs w:val="24"/>
              </w:rPr>
              <w:t xml:space="preserve"> scodelle piccole, a vern. n. scadente, liscie, intere</w:t>
            </w:r>
          </w:p>
          <w:p w14:paraId="08C52C7C" w14:textId="77777777" w:rsidR="007652A3" w:rsidRPr="00922517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922517">
              <w:rPr>
                <w:rFonts w:ascii="Titillium Web" w:hAnsi="Titillium Web"/>
                <w:i/>
                <w:iCs/>
                <w:szCs w:val="24"/>
              </w:rPr>
              <w:t>7</w:t>
            </w:r>
            <w:proofErr w:type="gramEnd"/>
            <w:r w:rsidRPr="00922517">
              <w:rPr>
                <w:rFonts w:ascii="Titillium Web" w:hAnsi="Titillium Web"/>
                <w:i/>
                <w:iCs/>
                <w:szCs w:val="24"/>
              </w:rPr>
              <w:t xml:space="preserve"> piattelli con peduccio, a vern. n. scadente; interi.</w:t>
            </w:r>
          </w:p>
        </w:tc>
      </w:tr>
      <w:tr w:rsidR="0086297F" w:rsidRPr="0092251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92251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2251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2251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2251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92251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2251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2251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F484BDE" w14:textId="77777777" w:rsidR="007652A3" w:rsidRPr="00922517" w:rsidRDefault="00000000" w:rsidP="00922517">
            <w:pPr>
              <w:jc w:val="center"/>
              <w:rPr>
                <w:rFonts w:ascii="Titillium Web" w:hAnsi="Titillium Web"/>
                <w:szCs w:val="24"/>
              </w:rPr>
            </w:pPr>
            <w:r w:rsidRPr="00922517">
              <w:rPr>
                <w:rFonts w:ascii="Titillium Web" w:eastAsia="Titillium" w:hAnsi="Titillium Web" w:cs="Titillium"/>
                <w:smallCaps/>
                <w:szCs w:val="24"/>
              </w:rPr>
              <w:t>Natalucci</w:t>
            </w:r>
            <w:r w:rsidRPr="00922517">
              <w:rPr>
                <w:rFonts w:ascii="Titillium Web" w:eastAsia="Titillium" w:hAnsi="Titillium Web" w:cs="Titillium"/>
                <w:szCs w:val="24"/>
              </w:rPr>
              <w:t xml:space="preserve"> 2014-2015; </w:t>
            </w:r>
            <w:r w:rsidRPr="00922517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922517">
              <w:rPr>
                <w:rFonts w:ascii="Titillium Web" w:eastAsia="Titillium" w:hAnsi="Titillium Web" w:cs="Titillium"/>
                <w:szCs w:val="24"/>
              </w:rPr>
              <w:t xml:space="preserve"> 2025, pp. 110, 130, 243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652A3"/>
    <w:rsid w:val="0086297F"/>
    <w:rsid w:val="00922517"/>
    <w:rsid w:val="009E4922"/>
    <w:rsid w:val="00AB321D"/>
    <w:rsid w:val="00B165C4"/>
    <w:rsid w:val="00C21EE0"/>
    <w:rsid w:val="00D7258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2026-05-14T14:54:00Z</dcterms:modified>
</cp:coreProperties>
</file>