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F745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F745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F745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F745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F745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FF745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F745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F745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F745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A99F9CF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Tomba 898 cremata.</w:t>
            </w:r>
          </w:p>
          <w:p w14:paraId="30115E61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A m. 36,60 dal B, a m. 27,40 a nord della linea di scavo, a m. 1,10 di profondità si rinviene una tomba a cremazione.</w:t>
            </w:r>
          </w:p>
          <w:p w14:paraId="255E8376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Le ossa sono deposte in un mucchietto a nord dei vasi e questi erano deposti in semicerchio davanti alle ossa combuste.</w:t>
            </w:r>
          </w:p>
          <w:p w14:paraId="35E5FFA3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538CEBC7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1 anfora vinaria, di argilla rossastra, di forma ovoidale, grezza, con fondo piatto: intera</w:t>
            </w:r>
          </w:p>
          <w:p w14:paraId="603E09C8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1 dolietto ovoidale, di argilla idem, grezzo e in parte frammentario.</w:t>
            </w:r>
          </w:p>
          <w:p w14:paraId="470A2B5A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e disegni di palmette e testoni; interi</w:t>
            </w:r>
          </w:p>
          <w:p w14:paraId="6C2DF289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1 lekane piuttosto grande, di argilla giallo chiara con coperchio decorato da palmette e teste con cappuccio: è intera</w:t>
            </w:r>
          </w:p>
          <w:p w14:paraId="39BE5F9D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1 kotylos imbutiforme, di argilla giallo chiara, con vernice bruna, scadente; intero</w:t>
            </w:r>
          </w:p>
          <w:p w14:paraId="5766EEF6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1 tazzetta kylixoide a vern. n. scadente, con palmette impresse: intera</w:t>
            </w:r>
          </w:p>
          <w:p w14:paraId="22EA46E9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4 tazze a vern. nera scadente, apode, con impressioni di palmette. Una liscia: entrambe intere. Una reca nel rovescio, presso il fondello, tre lettere grafite: [ndr: presente disegno delle lettere graffite]</w:t>
            </w:r>
          </w:p>
          <w:p w14:paraId="10AF0F92" w14:textId="77777777" w:rsidR="00F36517" w:rsidRPr="00FF7453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F7453">
              <w:rPr>
                <w:rFonts w:ascii="Titillium Web" w:hAnsi="Titillium Web"/>
                <w:i/>
                <w:iCs/>
                <w:szCs w:val="24"/>
              </w:rPr>
              <w:t>3 piattini con pieduccio, grezzi. Uno d’argilla cenerognola è in due pezzi, gli altri con linee circolari (nell’interno) di tinta bruna: interi</w:t>
            </w:r>
          </w:p>
        </w:tc>
      </w:tr>
      <w:tr w:rsidR="0086297F" w:rsidRPr="00FF745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FF745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745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745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F7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F745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F7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F745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F50CFD" w14:textId="5813FC10" w:rsidR="00F36517" w:rsidRPr="00FF7453" w:rsidRDefault="00000000" w:rsidP="00FF7453">
            <w:pPr>
              <w:jc w:val="center"/>
              <w:rPr>
                <w:rFonts w:ascii="Titillium Web" w:hAnsi="Titillium Web"/>
                <w:szCs w:val="24"/>
              </w:rPr>
            </w:pPr>
            <w:r w:rsidRPr="00FF7453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1981, pp. 124-125</w:t>
            </w:r>
            <w:r w:rsidR="00FF7453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FF7453">
              <w:rPr>
                <w:rFonts w:ascii="Titillium Web" w:eastAsia="Titillium" w:hAnsi="Titillium Web" w:cs="Titillium"/>
                <w:smallCaps/>
                <w:szCs w:val="24"/>
              </w:rPr>
              <w:t>Cornelio Cassai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1993, pp. 333-334; </w:t>
            </w:r>
            <w:r w:rsidRPr="00FF7453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1996, p. 110; </w:t>
            </w:r>
            <w:r w:rsidRPr="00FF7453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FF7453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FF7453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FF7453">
              <w:rPr>
                <w:rFonts w:ascii="Titillium Web" w:eastAsia="Titillium" w:hAnsi="Titillium Web" w:cs="Titillium"/>
                <w:szCs w:val="24"/>
              </w:rPr>
              <w:t xml:space="preserve"> 2023, p. 377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C3BBE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36517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2026-05-14T14:52:00Z</dcterms:modified>
</cp:coreProperties>
</file>