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12E0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12E0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12E0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12E0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12E0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412E0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12E0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12E0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12E0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B8E287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Tomba 909 a umazione con cassa</w:t>
            </w:r>
          </w:p>
          <w:p w14:paraId="19D748A9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A m. 54 dal B, a m. 32,60 a nord della linea di scavo, a m. 1,20 di prof.tà giaceva uno scheletro</w:t>
            </w:r>
          </w:p>
          <w:p w14:paraId="730B3948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orientato da nord-ovest a sud-est., ed è in parte sconvolto. La spina dorsale è ancora aposto (gradi 340) ma il cranio è ruzzolato (causa la sfasciamento della cassa marcita) fino al ginocchio destro e fermatisi fra i piattelli e le altre suppellettili.</w:t>
            </w:r>
          </w:p>
          <w:p w14:paraId="10A180B6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La mandibola inferiore è presso il braccio sinistro e sul petto dello scheletro (a sin.) si raccolgono:</w:t>
            </w:r>
          </w:p>
          <w:p w14:paraId="1ED37BD8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1 fusarola di pasta vitrea e</w:t>
            </w:r>
          </w:p>
          <w:p w14:paraId="3242CA03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12E0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12E0E">
              <w:rPr>
                <w:rFonts w:ascii="Titillium Web" w:hAnsi="Titillium Web"/>
                <w:i/>
                <w:iCs/>
                <w:szCs w:val="24"/>
              </w:rPr>
              <w:t xml:space="preserve"> cannelli di osso, cilindrici e un dischetto.</w:t>
            </w:r>
          </w:p>
          <w:p w14:paraId="474CA5F0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12E0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12E0E">
              <w:rPr>
                <w:rFonts w:ascii="Titillium Web" w:hAnsi="Titillium Web"/>
                <w:i/>
                <w:iCs/>
                <w:szCs w:val="24"/>
              </w:rPr>
              <w:t xml:space="preserve"> chiodi di ferro, si rinvennero nella parete lunga della tomba (sud) ancora verticali, presso i vasi.</w:t>
            </w:r>
          </w:p>
          <w:p w14:paraId="6286C1A6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Le suppellettili erano ammucchiate presso il fianco dentro e sono tutte inclinate verso lo scheletro (vedi fotografia). A nord delle suppellettili fittili si rinvenne:</w:t>
            </w:r>
          </w:p>
          <w:p w14:paraId="66BFF8DC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1 oggetto di ferro, che ha la forma di un uccello</w:t>
            </w:r>
          </w:p>
          <w:p w14:paraId="6DBAFDEA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39ABECB9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12E0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12E0E">
              <w:rPr>
                <w:rFonts w:ascii="Titillium Web" w:hAnsi="Titillium Web"/>
                <w:i/>
                <w:iCs/>
                <w:szCs w:val="24"/>
              </w:rPr>
              <w:t xml:space="preserve"> grandi piatti per pesce, con disegni (rosso su f. nero) di pesci: sono interi e simili a quelle tombe n.:</w:t>
            </w:r>
          </w:p>
          <w:p w14:paraId="13A552A5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1 lekane che ha il coperchio figurati, con le solite figure di donne e di eros con ali, recanti offerte; è frammentaria una restaurabile per intero.</w:t>
            </w:r>
          </w:p>
          <w:p w14:paraId="48604AD3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2 oinochoai a forma ovoidale, con bocca trilobata, e con figure rosse: di disegno trasandato.</w:t>
            </w:r>
          </w:p>
          <w:p w14:paraId="3123540C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lastRenderedPageBreak/>
              <w:t>Uno reca due figure intere, l’altro una testa di donna fra due grifi -</w:t>
            </w:r>
          </w:p>
          <w:p w14:paraId="335C3092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1 lucernina di forma discoidale, con ansa orizzontale e con disegni (rossi) di animali: ha l’ansa staccata.</w:t>
            </w:r>
          </w:p>
          <w:p w14:paraId="72C00D34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2 kotylai imbutiformi con palmette e figure di disegno inabile: entrambi in frammenti.</w:t>
            </w:r>
          </w:p>
          <w:p w14:paraId="4CC77E9F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12E0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412E0E">
              <w:rPr>
                <w:rFonts w:ascii="Titillium Web" w:hAnsi="Titillium Web"/>
                <w:i/>
                <w:iCs/>
                <w:szCs w:val="24"/>
              </w:rPr>
              <w:t xml:space="preserve"> scodelle a vern. n., con impressioni di palmette e di ovoli: una reca nel fondello una lettera</w:t>
            </w:r>
          </w:p>
          <w:p w14:paraId="1C5187FC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grafita A (fra grandi e piccole), due intere.</w:t>
            </w:r>
          </w:p>
          <w:p w14:paraId="7EDA8970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12E0E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412E0E">
              <w:rPr>
                <w:rFonts w:ascii="Titillium Web" w:hAnsi="Titillium Web"/>
                <w:i/>
                <w:iCs/>
                <w:szCs w:val="24"/>
              </w:rPr>
              <w:t xml:space="preserve"> piattelli di argilla cenerognola e giallastra, grezzi e lisci, apodi.</w:t>
            </w:r>
          </w:p>
          <w:p w14:paraId="20D7850D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Presso la mano des. dello scheletro si rinvenne</w:t>
            </w:r>
          </w:p>
          <w:p w14:paraId="071804D7" w14:textId="77777777" w:rsidR="001D70B6" w:rsidRPr="00412E0E" w:rsidRDefault="001662F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2E0E">
              <w:rPr>
                <w:rFonts w:ascii="Titillium Web" w:hAnsi="Titillium Web"/>
                <w:i/>
                <w:iCs/>
                <w:szCs w:val="24"/>
              </w:rPr>
              <w:t>1 frammento di piombo?</w:t>
            </w:r>
          </w:p>
        </w:tc>
      </w:tr>
      <w:tr w:rsidR="0086297F" w:rsidRPr="00412E0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95AA25C" w:rsidR="0086297F" w:rsidRPr="00412E0E" w:rsidRDefault="007913E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13E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412E0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12E0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2E0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12E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12E0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12E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2E0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F7E59AA" w14:textId="77777777" w:rsidR="001D70B6" w:rsidRPr="00412E0E" w:rsidRDefault="001662F5" w:rsidP="00412E0E">
            <w:pPr>
              <w:jc w:val="center"/>
              <w:rPr>
                <w:rFonts w:ascii="Titillium Web" w:hAnsi="Titillium Web"/>
                <w:szCs w:val="24"/>
              </w:rPr>
            </w:pPr>
            <w:r w:rsidRPr="00412E0E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412E0E">
              <w:rPr>
                <w:rFonts w:ascii="Titillium Web" w:eastAsia="Titillium" w:hAnsi="Titillium Web" w:cs="Titillium"/>
                <w:szCs w:val="24"/>
              </w:rPr>
              <w:t xml:space="preserve"> 1978, pp. 59-61, tav. XV, n. 1; </w:t>
            </w:r>
            <w:r w:rsidRPr="00412E0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12E0E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412E0E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412E0E">
              <w:rPr>
                <w:rFonts w:ascii="Titillium Web" w:eastAsia="Titillium" w:hAnsi="Titillium Web" w:cs="Titillium"/>
                <w:szCs w:val="24"/>
              </w:rPr>
              <w:t xml:space="preserve"> 2023, p. 288; </w:t>
            </w:r>
            <w:r w:rsidRPr="00412E0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12E0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70B6"/>
    <w:rsid w:val="002977D7"/>
    <w:rsid w:val="00412E0E"/>
    <w:rsid w:val="00472AF4"/>
    <w:rsid w:val="00551AF8"/>
    <w:rsid w:val="005B5AFF"/>
    <w:rsid w:val="006162A4"/>
    <w:rsid w:val="006346F7"/>
    <w:rsid w:val="006D6EFB"/>
    <w:rsid w:val="007145BC"/>
    <w:rsid w:val="007913E6"/>
    <w:rsid w:val="0086297F"/>
    <w:rsid w:val="008A50DB"/>
    <w:rsid w:val="008E2638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2026-05-15T10:06:00Z</dcterms:modified>
</cp:coreProperties>
</file>