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B26C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BB26C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B26C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B26C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BB26C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BB26C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B26C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B26C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BB26C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4037E01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Tomba 910 a umazione –</w:t>
            </w:r>
          </w:p>
          <w:p w14:paraId="3505AEAD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(con cassa di legno?)</w:t>
            </w:r>
          </w:p>
          <w:p w14:paraId="360AF32C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A m. 30 dal B, a m. 3,50 dalla linea di scavo, a m. 1,25 di prof.tà poggiava una tomba a umazione.</w:t>
            </w:r>
          </w:p>
          <w:p w14:paraId="5D1FAE08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 xml:space="preserve">Lo scheletro è orientato da NO a </w:t>
            </w:r>
            <w:proofErr w:type="gramStart"/>
            <w:r w:rsidRPr="00BB26C0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BB26C0">
              <w:rPr>
                <w:rFonts w:ascii="Titillium Web" w:hAnsi="Titillium Web"/>
                <w:i/>
                <w:iCs/>
                <w:szCs w:val="24"/>
              </w:rPr>
              <w:t>: gradi 340.</w:t>
            </w:r>
          </w:p>
          <w:p w14:paraId="23645AF3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La testa dello scheletro è leggermente spostata verso destra. Sopra lo scheletro, a m. 0,70 sopra le ginocchia stava nella sabbia alluvionale, un ciottolo fluviale che doveva segnalare la tomba.</w:t>
            </w:r>
          </w:p>
          <w:p w14:paraId="5C01E149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Lo scheletro e la suppellettile sono nella sabbia pura. Presso il fianco destro dello scheletro si raccolsero:</w:t>
            </w:r>
          </w:p>
          <w:p w14:paraId="4F2C9286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Presso la testa:</w:t>
            </w:r>
          </w:p>
          <w:p w14:paraId="7BFDF2D2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1 kelebe attica a figure rosse, di disegno scadente, figure ammantate senza alcun significato. È in pezzi: è stata restaurata in antico, poiché nel piede e nel fondo del vaso si riscontrano i buchi del restauro con punti di piombo.</w:t>
            </w:r>
          </w:p>
          <w:p w14:paraId="585961D1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Lungo il fianco destro dello scheletro:</w:t>
            </w:r>
          </w:p>
          <w:p w14:paraId="780A6EC2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B26C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B26C0">
              <w:rPr>
                <w:rFonts w:ascii="Titillium Web" w:hAnsi="Titillium Web"/>
                <w:i/>
                <w:iCs/>
                <w:szCs w:val="24"/>
              </w:rPr>
              <w:t xml:space="preserve"> piccoli oinochoai a vern. nera opaca, lisci: una ha l’ansa staccata.</w:t>
            </w:r>
          </w:p>
          <w:p w14:paraId="4347EE87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B26C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B26C0">
              <w:rPr>
                <w:rFonts w:ascii="Titillium Web" w:hAnsi="Titillium Web"/>
                <w:i/>
                <w:iCs/>
                <w:szCs w:val="24"/>
              </w:rPr>
              <w:t xml:space="preserve"> scodelle a vern. nera opaca, lisci, una ha l’ansa laterale staccata: contenevano</w:t>
            </w:r>
          </w:p>
          <w:p w14:paraId="39969A2B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1 frutto a forma di mela, a tutto tondo, di argilla cenerognola, grezza</w:t>
            </w:r>
          </w:p>
          <w:p w14:paraId="61A53764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lastRenderedPageBreak/>
              <w:t>1 altro simile tagliato in due metà (originalmente) in modo che una metà sia il coperchio. Anche questo frutto di argilla uguale al precedente.</w:t>
            </w:r>
          </w:p>
          <w:p w14:paraId="1A4AD404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1 kotylos troncoconico, a vern. nera: in frammenti.</w:t>
            </w:r>
          </w:p>
          <w:p w14:paraId="43B46B61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1 tazzetta a vern. nera, apoda, in frammenti, con la sigla grafita nel fondello</w:t>
            </w:r>
          </w:p>
          <w:p w14:paraId="7B883E7A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B26C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B26C0">
              <w:rPr>
                <w:rFonts w:ascii="Titillium Web" w:hAnsi="Titillium Web"/>
                <w:i/>
                <w:iCs/>
                <w:szCs w:val="24"/>
              </w:rPr>
              <w:t xml:space="preserve"> scodellini apodi, a vern. nera, interi</w:t>
            </w:r>
          </w:p>
          <w:p w14:paraId="34D1D125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4 piatti ad alto piede, di argilla giallastra, grezzi (3 interi e 1 marcito).</w:t>
            </w:r>
          </w:p>
          <w:p w14:paraId="705157F9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B26C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B26C0">
              <w:rPr>
                <w:rFonts w:ascii="Titillium Web" w:hAnsi="Titillium Web"/>
                <w:i/>
                <w:iCs/>
                <w:szCs w:val="24"/>
              </w:rPr>
              <w:t xml:space="preserve"> piatti di argilla idem, grezzi, apodi (uno rotto).</w:t>
            </w:r>
          </w:p>
          <w:p w14:paraId="7BA8DBFF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Lo scheletro presso il collo aveva:</w:t>
            </w:r>
          </w:p>
          <w:p w14:paraId="180CBF40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B26C0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BB26C0">
              <w:rPr>
                <w:rFonts w:ascii="Titillium Web" w:hAnsi="Titillium Web"/>
                <w:i/>
                <w:iCs/>
                <w:szCs w:val="24"/>
              </w:rPr>
              <w:t xml:space="preserve"> ambre con foro pervio</w:t>
            </w:r>
          </w:p>
          <w:p w14:paraId="3C11A63C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Presso la mano destra:</w:t>
            </w:r>
          </w:p>
          <w:p w14:paraId="0C23172E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1 balsamario di pasta vitrea, tipo alabastron: intero</w:t>
            </w:r>
          </w:p>
          <w:p w14:paraId="393CE8D9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e nella sinistra:</w:t>
            </w:r>
          </w:p>
          <w:p w14:paraId="70BD9BF4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1 frammento triangolare di bronzo (aes-rude?)</w:t>
            </w:r>
          </w:p>
          <w:p w14:paraId="3514D8A7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Presso i piedi e sopra alle gambe era ancora una frammento di legno del coperchio marcito della cassa.</w:t>
            </w:r>
          </w:p>
          <w:p w14:paraId="7BC83FA1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Sotto al pezzo di legno, e appoggiato alle gambe:</w:t>
            </w:r>
          </w:p>
          <w:p w14:paraId="4C3DEFD6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1 specchio circolare di bronzo, con piccolo apice per manico: è intero, ma coperto da strato spesso di concrezione e di ossido.</w:t>
            </w:r>
          </w:p>
          <w:p w14:paraId="7F26B164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Presso lo specchio, a destra:</w:t>
            </w:r>
          </w:p>
          <w:p w14:paraId="0A704291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1 fusaiola conica, di argilla cenere scura, liscia.</w:t>
            </w:r>
          </w:p>
          <w:p w14:paraId="0FB66442" w14:textId="77777777" w:rsidR="00FF3E16" w:rsidRPr="00BB26C0" w:rsidRDefault="007F68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B26C0">
              <w:rPr>
                <w:rFonts w:ascii="Titillium Web" w:hAnsi="Titillium Web"/>
                <w:i/>
                <w:iCs/>
                <w:szCs w:val="24"/>
              </w:rPr>
              <w:t>Sotto allo scheletro e agli oggetti si rinvennero numerosi avanzi del legno del fondo, e sopra allo scheletro resti legnosi del coperchio.</w:t>
            </w:r>
          </w:p>
        </w:tc>
      </w:tr>
      <w:tr w:rsidR="0086297F" w:rsidRPr="00BB26C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43A9547F" w:rsidR="0086297F" w:rsidRPr="00BB26C0" w:rsidRDefault="00AF20E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F20E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BB26C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BB26C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BB26C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B26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BB26C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B26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B26C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330F890" w14:textId="77777777" w:rsidR="00FF3E16" w:rsidRPr="00BB26C0" w:rsidRDefault="007F68C4" w:rsidP="00BB26C0">
            <w:pPr>
              <w:jc w:val="center"/>
              <w:rPr>
                <w:rFonts w:ascii="Titillium Web" w:hAnsi="Titillium Web"/>
                <w:szCs w:val="24"/>
              </w:rPr>
            </w:pPr>
            <w:r w:rsidRPr="00BB26C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B26C0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BB26C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B26C0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BB26C0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BB26C0">
              <w:rPr>
                <w:rFonts w:ascii="Titillium Web" w:eastAsia="Titillium" w:hAnsi="Titillium Web" w:cs="Titillium"/>
                <w:szCs w:val="24"/>
              </w:rPr>
              <w:t xml:space="preserve"> 2023, p. 205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C270F"/>
    <w:rsid w:val="006162A4"/>
    <w:rsid w:val="006346F7"/>
    <w:rsid w:val="006D6EFB"/>
    <w:rsid w:val="007145BC"/>
    <w:rsid w:val="0086297F"/>
    <w:rsid w:val="009E4922"/>
    <w:rsid w:val="00AB321D"/>
    <w:rsid w:val="00AF20E3"/>
    <w:rsid w:val="00B165C4"/>
    <w:rsid w:val="00BB26C0"/>
    <w:rsid w:val="00C21EE0"/>
    <w:rsid w:val="00D900AB"/>
    <w:rsid w:val="00D936E8"/>
    <w:rsid w:val="00E24633"/>
    <w:rsid w:val="00FE0B99"/>
    <w:rsid w:val="00FF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2026-05-15T10:06:00Z</dcterms:modified>
</cp:coreProperties>
</file>