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7146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7146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7146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7146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7146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F7146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7146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7146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7146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6CCC08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Tomba 915 a umazione (manomessa)</w:t>
            </w:r>
          </w:p>
          <w:p w14:paraId="6CDC3D46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(con cassa; fondo e coperchio.)</w:t>
            </w:r>
          </w:p>
          <w:p w14:paraId="5827959F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A m. 29 dal B, a m. 9,60 dalla linea di scavo (a nord della linea dei 355 m. dal D.B.), a m. 1,45 di prof.tà poggiava una tomba con cassa di legno, avente coperchio e fondo di tavole.</w:t>
            </w:r>
          </w:p>
          <w:p w14:paraId="01A3E3E2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La tomba era stata manomessa in tempi antichi, poiché nella parte superficiale si erano rinvenuti avanzi di legno marcito (del coperchio) e chiazze nerastre di bronzo decomposto, e lo scheletro era tutto scomposto.</w:t>
            </w:r>
          </w:p>
          <w:p w14:paraId="076A16E4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Oltracciò nella tomba si rinvenne:</w:t>
            </w:r>
          </w:p>
          <w:p w14:paraId="0BFCEEBE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raffo per 4 candele, di candelabro.</w:t>
            </w:r>
          </w:p>
          <w:p w14:paraId="015F99B3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rocchetto per candelabro</w:t>
            </w:r>
          </w:p>
          <w:p w14:paraId="4B98195E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statuetta terminale di candelabro, ma lo stelo e il piede del candelabro non si rinvennero</w:t>
            </w:r>
          </w:p>
          <w:p w14:paraId="25120939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L’orientazione dei lati lunghi della cassa era NO e SE: gradi 350 circa:</w:t>
            </w:r>
          </w:p>
          <w:p w14:paraId="3FF8A3C7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Sotto (a sud) della kelebe:</w:t>
            </w:r>
          </w:p>
          <w:p w14:paraId="40AFDB7D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2 oinochoai a bocca trilobata, di forma ovoidale, in pezzi.</w:t>
            </w:r>
          </w:p>
          <w:p w14:paraId="35842E37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Di disegno molto accurato, sembra che rappresentino entrambi scene di amazzoni.</w:t>
            </w:r>
          </w:p>
          <w:p w14:paraId="2AEDCBB9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Sono molto frammentati e non so se vi saranno tutti i frammenti.</w:t>
            </w:r>
          </w:p>
          <w:p w14:paraId="7FAD4694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35799BD2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kelebe attica, a fig. rosse di disegno discreto.</w:t>
            </w:r>
          </w:p>
          <w:p w14:paraId="155B8B1A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lastRenderedPageBreak/>
              <w:t>È in frammenti ed è coperta da concrezioni calcaree: rappresenta scene dionisiache: menadi e satiri.</w:t>
            </w:r>
          </w:p>
          <w:p w14:paraId="73F426AE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Presso la mano destra dello scheletro era:</w:t>
            </w:r>
          </w:p>
          <w:p w14:paraId="787CD0ED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olpe di sottile lamina di bronzo, completamente marcita; non si raccolse che un’avanzo con la bocca circolare ed ansa in fondo alla quale è l’attacco lavorato a bulino con palmette</w:t>
            </w:r>
          </w:p>
          <w:p w14:paraId="67680DB4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Fra la testa dello scheletro e la kelebe erano: il raffo per candele la statuetta e il rocchetto del candelabro, del quale non si rinvenne altro.</w:t>
            </w:r>
          </w:p>
          <w:p w14:paraId="1DE2AB1A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Presso il braccio sinistro era:</w:t>
            </w:r>
          </w:p>
          <w:p w14:paraId="1BCACFD3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frammento di grande fibula di bronzo? di forma serpeggiante con dischetto.</w:t>
            </w:r>
          </w:p>
          <w:p w14:paraId="4E93A127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A sin. della testa si raccolsero gli avanzi di</w:t>
            </w:r>
          </w:p>
          <w:p w14:paraId="109A244C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7146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7146B">
              <w:rPr>
                <w:rFonts w:ascii="Titillium Web" w:hAnsi="Titillium Web"/>
                <w:i/>
                <w:iCs/>
                <w:szCs w:val="24"/>
              </w:rPr>
              <w:t xml:space="preserve"> balsamari di alabastro, in frammenti</w:t>
            </w:r>
          </w:p>
          <w:p w14:paraId="046F23E5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Fra i fittili si rinvennero:</w:t>
            </w:r>
          </w:p>
          <w:p w14:paraId="36C0C915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grande kylix a figure rosse, di bel disegno, in frammenti - (coperta da concrezioni di ossido di bronzo)</w:t>
            </w:r>
          </w:p>
          <w:p w14:paraId="1CEEE9A5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oinochoe a forma di testa femminile, con bocca trilobata e ansa verticale: è leggermente frammentato nell’ansa.</w:t>
            </w:r>
          </w:p>
          <w:p w14:paraId="14862F91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vasetto a forma di bicchiere, con le solite decorazioni di losanghe e lineette: è in minuti frammenti.</w:t>
            </w:r>
          </w:p>
          <w:p w14:paraId="7ADB923B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2 piatti ad alto piede, a vern. nera, con foglie dipinte nell’orlo e ruota nel centro: in minuti frammenti.</w:t>
            </w:r>
          </w:p>
          <w:p w14:paraId="5485E95A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9 scodelle a vern. nera, con ruota nel centro - (cinque sono intere) -</w:t>
            </w:r>
          </w:p>
          <w:p w14:paraId="30560EB8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4 scodellini di argilla giallastra, grezzi.</w:t>
            </w:r>
          </w:p>
          <w:p w14:paraId="707F6755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piattello apodo             “               “</w:t>
            </w:r>
          </w:p>
          <w:p w14:paraId="62AC1473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Presso la sin. dello scheletro era:</w:t>
            </w:r>
          </w:p>
          <w:p w14:paraId="7E996141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1 frammento informe di bronzo (aes-rude)</w:t>
            </w:r>
          </w:p>
          <w:p w14:paraId="5D3506E1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a sin. dello scheletro si raccolsero:</w:t>
            </w:r>
          </w:p>
          <w:p w14:paraId="5655C0C6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3 goccie di vetro (due blu e una gialla)</w:t>
            </w:r>
          </w:p>
          <w:p w14:paraId="32D1605F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Si raccolsero sparsi</w:t>
            </w:r>
          </w:p>
          <w:p w14:paraId="256ADA54" w14:textId="77777777" w:rsidR="001218B7" w:rsidRPr="00F7146B" w:rsidRDefault="00BB57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7146B">
              <w:rPr>
                <w:rFonts w:ascii="Titillium Web" w:hAnsi="Titillium Web"/>
                <w:i/>
                <w:iCs/>
                <w:szCs w:val="24"/>
              </w:rPr>
              <w:t>4 chiodi di bronzo.</w:t>
            </w:r>
          </w:p>
        </w:tc>
      </w:tr>
      <w:tr w:rsidR="0086297F" w:rsidRPr="00F7146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8A65F84" w:rsidR="0086297F" w:rsidRPr="00F7146B" w:rsidRDefault="00951B07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1B0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7146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146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7146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714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7146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F7146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714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7146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469CBD" w14:textId="77777777" w:rsidR="001218B7" w:rsidRPr="00F7146B" w:rsidRDefault="00BB57AA" w:rsidP="00951B07">
            <w:pPr>
              <w:jc w:val="center"/>
              <w:rPr>
                <w:rFonts w:ascii="Titillium Web" w:hAnsi="Titillium Web"/>
                <w:szCs w:val="24"/>
              </w:rPr>
            </w:pPr>
            <w:r w:rsidRPr="00F7146B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F7146B">
              <w:rPr>
                <w:rFonts w:ascii="Titillium Web" w:eastAsia="Titillium" w:hAnsi="Titillium Web" w:cs="Titillium"/>
                <w:szCs w:val="24"/>
              </w:rPr>
              <w:t xml:space="preserve"> 1965, pp. 84-86, tavv. 108-111; </w:t>
            </w:r>
            <w:r w:rsidRPr="00F7146B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F7146B">
              <w:rPr>
                <w:rFonts w:ascii="Titillium Web" w:eastAsia="Titillium" w:hAnsi="Titillium Web" w:cs="Titillium"/>
                <w:szCs w:val="24"/>
              </w:rPr>
              <w:t xml:space="preserve"> 1986, pp. 43-44, n. 18; </w:t>
            </w:r>
            <w:r w:rsidRPr="00F7146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7146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18B7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197A"/>
    <w:rsid w:val="0086297F"/>
    <w:rsid w:val="00951B07"/>
    <w:rsid w:val="009E4922"/>
    <w:rsid w:val="00AB321D"/>
    <w:rsid w:val="00B165C4"/>
    <w:rsid w:val="00C21EE0"/>
    <w:rsid w:val="00D900AB"/>
    <w:rsid w:val="00D936E8"/>
    <w:rsid w:val="00E14580"/>
    <w:rsid w:val="00E24633"/>
    <w:rsid w:val="00F7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2026-05-15T10:05:00Z</dcterms:modified>
</cp:coreProperties>
</file>