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70DB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70DB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70DB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70DB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70DB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970DB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70DB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0DB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0DB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AF35F2C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0DB1">
              <w:rPr>
                <w:rFonts w:ascii="Titillium Web" w:hAnsi="Titillium Web"/>
                <w:i/>
                <w:iCs/>
                <w:szCs w:val="24"/>
              </w:rPr>
              <w:t>Tomba 926 a cremazione.</w:t>
            </w:r>
          </w:p>
          <w:p w14:paraId="5596DC9F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0DB1">
              <w:rPr>
                <w:rFonts w:ascii="Titillium Web" w:hAnsi="Titillium Web"/>
                <w:i/>
                <w:iCs/>
                <w:szCs w:val="24"/>
              </w:rPr>
              <w:t>A m. 44 dal B, a m. 20 a nord della linea di scavo, a m. 1,10 di profondità poggiava:</w:t>
            </w:r>
          </w:p>
          <w:p w14:paraId="179A9E19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0DB1">
              <w:rPr>
                <w:rFonts w:ascii="Titillium Web" w:hAnsi="Titillium Web"/>
                <w:i/>
                <w:iCs/>
                <w:szCs w:val="24"/>
              </w:rPr>
              <w:t>1 doliaccio piuttosto grande, di forma panciuta e di argilla bruno scura e di impasto grossolano.</w:t>
            </w:r>
          </w:p>
          <w:p w14:paraId="21AFF2DC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0DB1">
              <w:rPr>
                <w:rFonts w:ascii="Titillium Web" w:hAnsi="Titillium Web"/>
                <w:i/>
                <w:iCs/>
                <w:szCs w:val="24"/>
              </w:rPr>
              <w:t>Era completamente marcito e spaccato dalle alghe che l’avevano invaso all’interno.</w:t>
            </w:r>
          </w:p>
          <w:p w14:paraId="7604AA3A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0DB1">
              <w:rPr>
                <w:rFonts w:ascii="Titillium Web" w:hAnsi="Titillium Web"/>
                <w:i/>
                <w:iCs/>
                <w:szCs w:val="24"/>
              </w:rPr>
              <w:t>Entro al dolio erano le ceneri e</w:t>
            </w:r>
          </w:p>
          <w:p w14:paraId="2C0357C7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70DB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70DB1">
              <w:rPr>
                <w:rFonts w:ascii="Titillium Web" w:hAnsi="Titillium Web"/>
                <w:i/>
                <w:iCs/>
                <w:szCs w:val="24"/>
              </w:rPr>
              <w:t xml:space="preserve"> piccole tazze a vern. nera con alto piede liscie e intere</w:t>
            </w:r>
          </w:p>
          <w:p w14:paraId="174B2591" w14:textId="77777777" w:rsidR="00A7125D" w:rsidRPr="00970DB1" w:rsidRDefault="0084362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70DB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70DB1">
              <w:rPr>
                <w:rFonts w:ascii="Titillium Web" w:hAnsi="Titillium Web"/>
                <w:i/>
                <w:iCs/>
                <w:szCs w:val="24"/>
              </w:rPr>
              <w:t xml:space="preserve"> piattelli comuni, apodi, di argilla cenerognola, marciti e non raccolti –</w:t>
            </w:r>
          </w:p>
        </w:tc>
      </w:tr>
      <w:tr w:rsidR="0086297F" w:rsidRPr="00970DB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970DB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0DB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0DB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70DB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0DB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70DB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0DB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ECEEF6" w14:textId="77777777" w:rsidR="00A7125D" w:rsidRPr="00970DB1" w:rsidRDefault="0084362F" w:rsidP="00970DB1">
            <w:pPr>
              <w:jc w:val="center"/>
              <w:rPr>
                <w:rFonts w:ascii="Titillium Web" w:hAnsi="Titillium Web"/>
                <w:szCs w:val="24"/>
              </w:rPr>
            </w:pPr>
            <w:r w:rsidRPr="00970DB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70DB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271C"/>
    <w:rsid w:val="0086297F"/>
    <w:rsid w:val="00970DB1"/>
    <w:rsid w:val="009E4922"/>
    <w:rsid w:val="00A7125D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2026-05-14T12:30:00Z</dcterms:modified>
</cp:coreProperties>
</file>