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F51F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F51F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F51F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F51F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F51F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5F51F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F51F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51F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5F51F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648D13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Tomba 929 a cremazione</w:t>
            </w:r>
          </w:p>
          <w:p w14:paraId="6584D4E3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A m. 49,30 dal B, a m. 23,20 a nord della linea di scavo, a 0,90 di profondità poggiava:</w:t>
            </w:r>
          </w:p>
          <w:p w14:paraId="33E7F124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un mucchietto di ossa combuste che sembra fossero entro una specie di ciotola di argilla cruda e marcita. Le ossa erano coperte da una grossa ciotola di argilla giallastra, ben cotta, leggermente crinata: è decorata all’interno con righe circolari e zone di dentelli di colore rosso sangue,</w:t>
            </w:r>
          </w:p>
          <w:p w14:paraId="641AC266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Sotto alla ciotola, fra le ossa combuste si rinvenne:</w:t>
            </w:r>
          </w:p>
          <w:p w14:paraId="71A0B877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1 oinochoe di vetro rosso bruno: intero</w:t>
            </w:r>
          </w:p>
          <w:p w14:paraId="3DD19F46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1 frammentino di fibula? di bronzo</w:t>
            </w:r>
          </w:p>
          <w:p w14:paraId="2DD80597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Nell’esterno, si raccolsero:</w:t>
            </w:r>
          </w:p>
          <w:p w14:paraId="535B3E6E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1 oinochoe panciuto, a vern. nera, mancante della bocca</w:t>
            </w:r>
          </w:p>
          <w:p w14:paraId="6E76F439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1 oinochoe oblungo con bocca circolare, di argilla cenerognola senza vernice, e ansa verticale; intero</w:t>
            </w:r>
          </w:p>
          <w:p w14:paraId="3E0B5230" w14:textId="32B49CDB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1 oinochoe di forma ovoidale a bocca trilobata e a vern. nera, completamente marcito (non raccolto)</w:t>
            </w:r>
          </w:p>
          <w:p w14:paraId="535CD0B4" w14:textId="77777777" w:rsidR="00173348" w:rsidRPr="005F51F2" w:rsidRDefault="00C609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1F2">
              <w:rPr>
                <w:rFonts w:ascii="Titillium Web" w:hAnsi="Titillium Web"/>
                <w:i/>
                <w:iCs/>
                <w:szCs w:val="24"/>
              </w:rPr>
              <w:t>A m. 0,10 sopra i vasi posava un ciottolo fluviale</w:t>
            </w:r>
          </w:p>
        </w:tc>
      </w:tr>
      <w:tr w:rsidR="0086297F" w:rsidRPr="005F51F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5F51F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51F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51F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F51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51F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F51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1F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BF7E5B" w14:textId="090CBCE0" w:rsidR="00173348" w:rsidRPr="005F51F2" w:rsidRDefault="005F51F2" w:rsidP="00697922">
            <w:pPr>
              <w:jc w:val="center"/>
              <w:rPr>
                <w:rFonts w:ascii="Titillium Web" w:hAnsi="Titillium Web"/>
                <w:szCs w:val="24"/>
              </w:rPr>
            </w:pPr>
            <w:r w:rsidRPr="005F51F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F51F2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="00C609BF" w:rsidRPr="005F51F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C609BF" w:rsidRPr="005F51F2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="00C609BF" w:rsidRPr="005F51F2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="00C609BF" w:rsidRPr="005F51F2">
              <w:rPr>
                <w:rFonts w:ascii="Titillium Web" w:eastAsia="Titillium" w:hAnsi="Titillium Web" w:cs="Titillium"/>
                <w:szCs w:val="24"/>
              </w:rPr>
              <w:t xml:space="preserve"> 2022, p. 52</w:t>
            </w:r>
          </w:p>
        </w:tc>
      </w:tr>
    </w:tbl>
    <w:p w14:paraId="13D523A5" w14:textId="77777777" w:rsidR="00472AF4" w:rsidRPr="00042C80" w:rsidRDefault="00472AF4" w:rsidP="00697922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3348"/>
    <w:rsid w:val="001C17CC"/>
    <w:rsid w:val="002977D7"/>
    <w:rsid w:val="00320B04"/>
    <w:rsid w:val="00472AF4"/>
    <w:rsid w:val="00551AF8"/>
    <w:rsid w:val="005B5AFF"/>
    <w:rsid w:val="005F51F2"/>
    <w:rsid w:val="006162A4"/>
    <w:rsid w:val="006346F7"/>
    <w:rsid w:val="00697922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2026-05-14T12:28:00Z</dcterms:modified>
</cp:coreProperties>
</file>