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17C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17C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17C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17C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17C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17C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17C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7C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7C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9FAFB89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Tomba 930 a cremazione</w:t>
            </w:r>
          </w:p>
          <w:p w14:paraId="6C9092DB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A m. 27,70 dal B, a m. 22 a nord della linea dello scavo, a m. 1,00 di profondità, poggiava:</w:t>
            </w:r>
          </w:p>
          <w:p w14:paraId="015EBE78" w14:textId="77777777" w:rsidR="00E47509" w:rsidRPr="00317CEE" w:rsidRDefault="00E47509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ABDAC14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1 dolio di forma ovoidale, di argilla brunastra e di impasto rozzo, completamente marcito (non fu raccolto).</w:t>
            </w:r>
          </w:p>
          <w:p w14:paraId="497F54BB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34E26AA1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1 fusarola piccolina di vetro bleu</w:t>
            </w:r>
          </w:p>
          <w:p w14:paraId="6D2178CE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1 piccolo aryballos di forma ovoidale, a vern. nera con palmetta dipinta nel ventre.</w:t>
            </w:r>
          </w:p>
          <w:p w14:paraId="38245A44" w14:textId="77777777" w:rsidR="00E47509" w:rsidRPr="00317CE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7CEE">
              <w:rPr>
                <w:rFonts w:ascii="Titillium Web" w:hAnsi="Titillium Web"/>
                <w:i/>
                <w:iCs/>
                <w:szCs w:val="24"/>
              </w:rPr>
              <w:t>Il dolio non fu raccolto.</w:t>
            </w:r>
          </w:p>
        </w:tc>
      </w:tr>
      <w:tr w:rsidR="0086297F" w:rsidRPr="00317C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317C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17C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317C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17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7C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17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7C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A7BE0A" w14:textId="77777777" w:rsidR="00E47509" w:rsidRPr="00317CEE" w:rsidRDefault="00000000" w:rsidP="00317CEE">
            <w:pPr>
              <w:jc w:val="center"/>
              <w:rPr>
                <w:rFonts w:ascii="Titillium Web" w:hAnsi="Titillium Web"/>
                <w:szCs w:val="24"/>
              </w:rPr>
            </w:pPr>
            <w:r w:rsidRPr="00317CE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17CE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7CEE"/>
    <w:rsid w:val="0037698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4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2026-05-14T12:27:00Z</dcterms:modified>
</cp:coreProperties>
</file>