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F8408" w14:textId="0B5C78B4" w:rsidR="00472AF4" w:rsidRPr="00C30F5C" w:rsidRDefault="0001421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C30F5C">
        <w:rPr>
          <w:rFonts w:ascii="Titillium Web" w:hAnsi="Titillium Web"/>
          <w:b/>
          <w:bCs/>
          <w:sz w:val="28"/>
          <w:szCs w:val="24"/>
        </w:rPr>
        <w:t>Valle Trebba – Tomba 95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1B5504" w:rsidRPr="00D45C2F" w14:paraId="7E897B51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C7784" w14:textId="77777777" w:rsidR="001B5504" w:rsidRPr="00D45C2F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45C2F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3911E4F6" w14:textId="6BFD1686" w:rsidR="001B5504" w:rsidRPr="00D45C2F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D45C2F">
              <w:rPr>
                <w:rFonts w:ascii="Titillium Web" w:hAnsi="Titillium Web"/>
                <w:szCs w:val="24"/>
              </w:rPr>
              <w:t>1923</w:t>
            </w:r>
          </w:p>
        </w:tc>
      </w:tr>
      <w:tr w:rsidR="001B5504" w:rsidRPr="00D45C2F" w14:paraId="4120B077" w14:textId="77777777" w:rsidTr="001B5504">
        <w:trPr>
          <w:jc w:val="center"/>
        </w:trPr>
        <w:tc>
          <w:tcPr>
            <w:tcW w:w="1650" w:type="pct"/>
            <w:vAlign w:val="center"/>
          </w:tcPr>
          <w:p w14:paraId="7B4CDD57" w14:textId="77777777" w:rsidR="001B5504" w:rsidRPr="00D45C2F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45C2F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4ED449D1" w14:textId="67560E4F" w:rsidR="001B5504" w:rsidRPr="00D45C2F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D45C2F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1B5504" w:rsidRPr="00D45C2F" w14:paraId="7A448E9D" w14:textId="77777777" w:rsidTr="001B5504">
        <w:trPr>
          <w:jc w:val="center"/>
        </w:trPr>
        <w:tc>
          <w:tcPr>
            <w:tcW w:w="1650" w:type="pct"/>
            <w:vAlign w:val="center"/>
          </w:tcPr>
          <w:p w14:paraId="1E1EA165" w14:textId="77777777" w:rsidR="001B5504" w:rsidRPr="00D45C2F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45C2F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18226334" w14:textId="6B6FE1CF" w:rsidR="001B5504" w:rsidRPr="00D45C2F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D45C2F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1B5504" w:rsidRPr="00D45C2F" w14:paraId="31276AA4" w14:textId="77777777" w:rsidTr="001B5504">
        <w:trPr>
          <w:jc w:val="center"/>
        </w:trPr>
        <w:tc>
          <w:tcPr>
            <w:tcW w:w="1650" w:type="pct"/>
            <w:vAlign w:val="center"/>
          </w:tcPr>
          <w:p w14:paraId="33201D3D" w14:textId="77777777" w:rsidR="001B5504" w:rsidRPr="00D45C2F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45C2F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720E7EE7" w14:textId="3E36BEBB" w:rsidR="001B5504" w:rsidRPr="00D45C2F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D45C2F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1B5504" w:rsidRPr="00D45C2F" w14:paraId="07337DA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032DFD5" w14:textId="77777777" w:rsidR="001B5504" w:rsidRPr="00D45C2F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45C2F">
              <w:rPr>
                <w:rFonts w:ascii="Titillium Web" w:hAnsi="Titillium Web"/>
                <w:smallCaps/>
                <w:szCs w:val="24"/>
              </w:rPr>
              <w:t>Profondità dal piano di campagna</w:t>
            </w:r>
          </w:p>
        </w:tc>
        <w:tc>
          <w:tcPr>
            <w:tcW w:w="3350" w:type="pct"/>
            <w:vAlign w:val="center"/>
          </w:tcPr>
          <w:p w14:paraId="4AC1C871" w14:textId="553FE193" w:rsidR="001B5504" w:rsidRPr="00D45C2F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D45C2F">
              <w:rPr>
                <w:rFonts w:ascii="Titillium Web" w:hAnsi="Titillium Web"/>
                <w:szCs w:val="24"/>
              </w:rPr>
              <w:t>0,70 m</w:t>
            </w:r>
          </w:p>
        </w:tc>
      </w:tr>
      <w:tr w:rsidR="001B5504" w:rsidRPr="00D45C2F" w14:paraId="16F9D287" w14:textId="77777777" w:rsidTr="001B5504">
        <w:trPr>
          <w:jc w:val="center"/>
        </w:trPr>
        <w:tc>
          <w:tcPr>
            <w:tcW w:w="1650" w:type="pct"/>
            <w:vAlign w:val="center"/>
          </w:tcPr>
          <w:p w14:paraId="5D675683" w14:textId="77777777" w:rsidR="001B5504" w:rsidRPr="00D45C2F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45C2F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06ED54D" w14:textId="0EBDB5D9" w:rsidR="001B5504" w:rsidRPr="00D45C2F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D45C2F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1B5504" w:rsidRPr="00D45C2F" w14:paraId="3DCDE8C5" w14:textId="77777777" w:rsidTr="001B5504">
        <w:trPr>
          <w:jc w:val="center"/>
        </w:trPr>
        <w:tc>
          <w:tcPr>
            <w:tcW w:w="1650" w:type="pct"/>
            <w:vAlign w:val="center"/>
          </w:tcPr>
          <w:p w14:paraId="090E3992" w14:textId="77777777" w:rsidR="001B5504" w:rsidRPr="00D45C2F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45C2F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01C3562F" w14:textId="1EF5F976" w:rsidR="001B5504" w:rsidRPr="00D45C2F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D45C2F">
              <w:rPr>
                <w:rFonts w:ascii="Titillium Web" w:hAnsi="Titillium Web"/>
                <w:szCs w:val="24"/>
              </w:rPr>
              <w:t>W-E</w:t>
            </w:r>
          </w:p>
        </w:tc>
      </w:tr>
      <w:tr w:rsidR="001B5504" w:rsidRPr="00D45C2F" w14:paraId="5978151F" w14:textId="77777777" w:rsidTr="001B5504">
        <w:trPr>
          <w:jc w:val="center"/>
        </w:trPr>
        <w:tc>
          <w:tcPr>
            <w:tcW w:w="1650" w:type="pct"/>
            <w:vAlign w:val="center"/>
          </w:tcPr>
          <w:p w14:paraId="1F67A10B" w14:textId="77777777" w:rsidR="001B5504" w:rsidRPr="00D45C2F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45C2F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6599D472" w14:textId="15ADFA9C" w:rsidR="001B5504" w:rsidRPr="00D45C2F" w:rsidRDefault="00276DAB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D45C2F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D45C2F" w14:paraId="28E05F99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CF1BD4" w14:textId="77777777" w:rsidR="001B5504" w:rsidRPr="00D45C2F" w:rsidRDefault="001B5504" w:rsidP="001F2833">
            <w:pPr>
              <w:spacing w:before="120" w:after="120"/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45C2F">
              <w:rPr>
                <w:rFonts w:ascii="Titillium Web" w:hAnsi="Titillium Web"/>
                <w:smallCaps/>
                <w:szCs w:val="24"/>
              </w:rPr>
              <w:t>Giornale di scavo (GdS)</w:t>
            </w:r>
          </w:p>
        </w:tc>
        <w:tc>
          <w:tcPr>
            <w:tcW w:w="3350" w:type="pct"/>
            <w:vAlign w:val="center"/>
          </w:tcPr>
          <w:p w14:paraId="34AD160D" w14:textId="77777777" w:rsidR="009F3183" w:rsidRPr="00D45C2F" w:rsidRDefault="009F3183" w:rsidP="009F3183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D45C2F">
              <w:rPr>
                <w:rFonts w:ascii="Titillium Web" w:hAnsi="Titillium Web" w:cs="Times New Roman"/>
                <w:i/>
                <w:iCs/>
                <w:szCs w:val="24"/>
              </w:rPr>
              <w:t>95 Tomba umata.</w:t>
            </w:r>
          </w:p>
          <w:p w14:paraId="6F33BC66" w14:textId="77777777" w:rsidR="009F3183" w:rsidRPr="00D45C2F" w:rsidRDefault="009F3183" w:rsidP="009F3183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D45C2F">
              <w:rPr>
                <w:rFonts w:ascii="Titillium Web" w:hAnsi="Titillium Web" w:cs="Times New Roman"/>
                <w:i/>
                <w:iCs/>
                <w:szCs w:val="24"/>
              </w:rPr>
              <w:t xml:space="preserve">A m 1 a lev. della precedente, alla </w:t>
            </w:r>
            <w:proofErr w:type="spellStart"/>
            <w:r w:rsidRPr="00D45C2F">
              <w:rPr>
                <w:rFonts w:ascii="Titillium Web" w:hAnsi="Titillium Web" w:cs="Times New Roman"/>
                <w:i/>
                <w:iCs/>
                <w:szCs w:val="24"/>
              </w:rPr>
              <w:t>prof.tà</w:t>
            </w:r>
            <w:proofErr w:type="spellEnd"/>
            <w:r w:rsidRPr="00D45C2F">
              <w:rPr>
                <w:rFonts w:ascii="Titillium Web" w:hAnsi="Titillium Web" w:cs="Times New Roman"/>
                <w:i/>
                <w:iCs/>
                <w:szCs w:val="24"/>
              </w:rPr>
              <w:t xml:space="preserve"> di m 0,70 appare uno scheletro orientato da </w:t>
            </w:r>
            <w:proofErr w:type="spellStart"/>
            <w:r w:rsidRPr="00D45C2F">
              <w:rPr>
                <w:rFonts w:ascii="Titillium Web" w:hAnsi="Titillium Web" w:cs="Times New Roman"/>
                <w:i/>
                <w:iCs/>
                <w:szCs w:val="24"/>
              </w:rPr>
              <w:t>pon</w:t>
            </w:r>
            <w:proofErr w:type="spellEnd"/>
            <w:r w:rsidRPr="00D45C2F">
              <w:rPr>
                <w:rFonts w:ascii="Titillium Web" w:hAnsi="Titillium Web" w:cs="Times New Roman"/>
                <w:i/>
                <w:iCs/>
                <w:szCs w:val="24"/>
              </w:rPr>
              <w:t>. a lev. completamente marcito. Presso la testa aveva:</w:t>
            </w:r>
          </w:p>
          <w:p w14:paraId="2ECF806E" w14:textId="77777777" w:rsidR="009F3183" w:rsidRPr="00D45C2F" w:rsidRDefault="009F3183" w:rsidP="009F3183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D45C2F">
              <w:rPr>
                <w:rFonts w:ascii="Titillium Web" w:hAnsi="Titillium Web" w:cs="Times New Roman"/>
                <w:i/>
                <w:iCs/>
                <w:szCs w:val="24"/>
              </w:rPr>
              <w:t xml:space="preserve">due </w:t>
            </w:r>
            <w:proofErr w:type="spellStart"/>
            <w:r w:rsidRPr="00D45C2F">
              <w:rPr>
                <w:rFonts w:ascii="Titillium Web" w:hAnsi="Titillium Web" w:cs="Times New Roman"/>
                <w:i/>
                <w:iCs/>
                <w:szCs w:val="24"/>
              </w:rPr>
              <w:t>skyfos</w:t>
            </w:r>
            <w:proofErr w:type="spellEnd"/>
            <w:r w:rsidRPr="00D45C2F">
              <w:rPr>
                <w:rFonts w:ascii="Titillium Web" w:hAnsi="Titillium Web" w:cs="Times New Roman"/>
                <w:i/>
                <w:iCs/>
                <w:szCs w:val="24"/>
              </w:rPr>
              <w:t xml:space="preserve"> a ver. n., interi</w:t>
            </w:r>
          </w:p>
          <w:p w14:paraId="697EBAAC" w14:textId="77777777" w:rsidR="009F3183" w:rsidRPr="00D45C2F" w:rsidRDefault="009F3183" w:rsidP="009F3183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D45C2F">
              <w:rPr>
                <w:rFonts w:ascii="Titillium Web" w:hAnsi="Titillium Web" w:cs="Times New Roman"/>
                <w:i/>
                <w:iCs/>
                <w:szCs w:val="24"/>
              </w:rPr>
              <w:t>due scodelle a ver. n. (una in frammenti)</w:t>
            </w:r>
          </w:p>
          <w:p w14:paraId="3DCC59F6" w14:textId="77777777" w:rsidR="009F3183" w:rsidRPr="00D45C2F" w:rsidRDefault="009F3183" w:rsidP="009F3183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proofErr w:type="gramStart"/>
            <w:r w:rsidRPr="00D45C2F">
              <w:rPr>
                <w:rFonts w:ascii="Titillium Web" w:hAnsi="Titillium Web" w:cs="Times New Roman"/>
                <w:i/>
                <w:iCs/>
                <w:szCs w:val="24"/>
              </w:rPr>
              <w:t>3</w:t>
            </w:r>
            <w:proofErr w:type="gramEnd"/>
            <w:r w:rsidRPr="00D45C2F">
              <w:rPr>
                <w:rFonts w:ascii="Titillium Web" w:hAnsi="Titillium Web" w:cs="Times New Roman"/>
                <w:i/>
                <w:iCs/>
                <w:szCs w:val="24"/>
              </w:rPr>
              <w:t xml:space="preserve"> piattelli di terra bruna e d’impasto locale</w:t>
            </w:r>
          </w:p>
          <w:p w14:paraId="1A6B7E7E" w14:textId="1B5F2232" w:rsidR="001B5504" w:rsidRPr="00D45C2F" w:rsidRDefault="009F3183" w:rsidP="009F3183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D45C2F">
              <w:rPr>
                <w:rFonts w:ascii="Titillium Web" w:hAnsi="Titillium Web" w:cs="Times New Roman"/>
                <w:i/>
                <w:iCs/>
                <w:szCs w:val="24"/>
              </w:rPr>
              <w:t xml:space="preserve">1 </w:t>
            </w:r>
            <w:proofErr w:type="spellStart"/>
            <w:r w:rsidRPr="00D45C2F">
              <w:rPr>
                <w:rFonts w:ascii="Titillium Web" w:hAnsi="Titillium Web" w:cs="Times New Roman"/>
                <w:i/>
                <w:iCs/>
                <w:szCs w:val="24"/>
              </w:rPr>
              <w:t>skyfos</w:t>
            </w:r>
            <w:proofErr w:type="spellEnd"/>
            <w:r w:rsidRPr="00D45C2F">
              <w:rPr>
                <w:rFonts w:ascii="Titillium Web" w:hAnsi="Titillium Web" w:cs="Times New Roman"/>
                <w:i/>
                <w:iCs/>
                <w:szCs w:val="24"/>
              </w:rPr>
              <w:t xml:space="preserve"> piccolino a ver. n. diluita. in </w:t>
            </w:r>
            <w:proofErr w:type="spellStart"/>
            <w:r w:rsidRPr="00D45C2F">
              <w:rPr>
                <w:rFonts w:ascii="Titillium Web" w:hAnsi="Titillium Web" w:cs="Times New Roman"/>
                <w:i/>
                <w:iCs/>
                <w:szCs w:val="24"/>
              </w:rPr>
              <w:t>fram.ti</w:t>
            </w:r>
            <w:proofErr w:type="spellEnd"/>
          </w:p>
        </w:tc>
      </w:tr>
      <w:tr w:rsidR="001B5504" w:rsidRPr="00D45C2F" w14:paraId="4CA6595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0306C" w14:textId="77777777" w:rsidR="001B5504" w:rsidRPr="00D45C2F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45C2F">
              <w:rPr>
                <w:rFonts w:ascii="Titillium Web" w:hAnsi="Titillium Web"/>
                <w:smallCaps/>
                <w:szCs w:val="24"/>
              </w:rPr>
              <w:t>Corredo</w:t>
            </w:r>
          </w:p>
        </w:tc>
        <w:tc>
          <w:tcPr>
            <w:tcW w:w="3350" w:type="pct"/>
            <w:vAlign w:val="center"/>
          </w:tcPr>
          <w:p w14:paraId="0DE97BF4" w14:textId="1AF89D88" w:rsidR="001B5504" w:rsidRPr="00D45C2F" w:rsidRDefault="00740873" w:rsidP="00D45C2F">
            <w:pPr>
              <w:jc w:val="center"/>
              <w:rPr>
                <w:rFonts w:ascii="Titillium Web" w:hAnsi="Titillium Web" w:cs="Times New Roman"/>
                <w:szCs w:val="24"/>
              </w:rPr>
            </w:pPr>
            <w:r w:rsidRPr="00D45C2F">
              <w:rPr>
                <w:rFonts w:ascii="Titillium Web" w:hAnsi="Titillium Web" w:cs="Times New Roman"/>
                <w:szCs w:val="24"/>
              </w:rPr>
              <w:t>I</w:t>
            </w:r>
            <w:r w:rsidR="00951AE4" w:rsidRPr="00D45C2F">
              <w:rPr>
                <w:rFonts w:ascii="Titillium Web" w:hAnsi="Titillium Web" w:cs="Times New Roman"/>
                <w:szCs w:val="24"/>
              </w:rPr>
              <w:t xml:space="preserve">l corredo risultava collocato in corrispondenza della testa. Sono stati recuperati tre </w:t>
            </w:r>
            <w:r w:rsidR="00951AE4" w:rsidRPr="00D45C2F">
              <w:rPr>
                <w:rFonts w:ascii="Titillium Web" w:hAnsi="Titillium Web" w:cs="Times New Roman"/>
                <w:i/>
                <w:iCs/>
                <w:szCs w:val="24"/>
              </w:rPr>
              <w:t>skyphoi</w:t>
            </w:r>
            <w:r w:rsidR="00951AE4" w:rsidRPr="00D45C2F">
              <w:rPr>
                <w:rFonts w:ascii="Titillium Web" w:hAnsi="Titillium Web" w:cs="Times New Roman"/>
                <w:szCs w:val="24"/>
              </w:rPr>
              <w:t xml:space="preserve"> a v.n. (nn. 1*-3), dei quali i due esemplari descritti nel GdS come integri sono perduti, due coppe e tre piatti di produzione locale in ceramica grigia (nn. 4-8).</w:t>
            </w:r>
          </w:p>
          <w:p w14:paraId="7567396F" w14:textId="77777777" w:rsidR="00951AE4" w:rsidRPr="00D45C2F" w:rsidRDefault="00951AE4" w:rsidP="00D45C2F">
            <w:pPr>
              <w:jc w:val="center"/>
              <w:rPr>
                <w:rFonts w:ascii="Titillium Web" w:hAnsi="Titillium Web"/>
                <w:szCs w:val="24"/>
              </w:rPr>
            </w:pPr>
            <w:r w:rsidRPr="00D45C2F">
              <w:rPr>
                <w:rFonts w:ascii="Titillium Web" w:hAnsi="Titillium Web"/>
                <w:szCs w:val="24"/>
              </w:rPr>
              <w:t>1*-2*. Skyphos (vernice nera)</w:t>
            </w:r>
          </w:p>
          <w:p w14:paraId="025C241D" w14:textId="77777777" w:rsidR="00951AE4" w:rsidRPr="00D45C2F" w:rsidRDefault="00951AE4" w:rsidP="00D45C2F">
            <w:pPr>
              <w:jc w:val="center"/>
              <w:rPr>
                <w:rFonts w:ascii="Titillium Web" w:hAnsi="Titillium Web"/>
                <w:szCs w:val="24"/>
              </w:rPr>
            </w:pPr>
            <w:r w:rsidRPr="00D45C2F">
              <w:rPr>
                <w:rFonts w:ascii="Titillium Web" w:hAnsi="Titillium Web"/>
                <w:szCs w:val="24"/>
              </w:rPr>
              <w:t>3. Skyphos di produzione locale (IG 20610; vernice nera)</w:t>
            </w:r>
          </w:p>
          <w:p w14:paraId="136FB7EA" w14:textId="77777777" w:rsidR="00951AE4" w:rsidRPr="00D45C2F" w:rsidRDefault="00951AE4" w:rsidP="00D45C2F">
            <w:pPr>
              <w:jc w:val="center"/>
              <w:rPr>
                <w:rFonts w:ascii="Titillium Web" w:hAnsi="Titillium Web"/>
                <w:szCs w:val="24"/>
              </w:rPr>
            </w:pPr>
            <w:r w:rsidRPr="00D45C2F">
              <w:rPr>
                <w:rFonts w:ascii="Titillium Web" w:hAnsi="Titillium Web"/>
                <w:szCs w:val="24"/>
              </w:rPr>
              <w:t>4. Coppa emisferica di produzione locale (IG 1005; ceramica grigia)</w:t>
            </w:r>
          </w:p>
          <w:p w14:paraId="06ABC73C" w14:textId="77777777" w:rsidR="00951AE4" w:rsidRPr="00D45C2F" w:rsidRDefault="00951AE4" w:rsidP="00D45C2F">
            <w:pPr>
              <w:jc w:val="center"/>
              <w:rPr>
                <w:rFonts w:ascii="Titillium Web" w:hAnsi="Titillium Web"/>
                <w:szCs w:val="24"/>
              </w:rPr>
            </w:pPr>
            <w:r w:rsidRPr="00D45C2F">
              <w:rPr>
                <w:rFonts w:ascii="Titillium Web" w:hAnsi="Titillium Web"/>
                <w:szCs w:val="24"/>
              </w:rPr>
              <w:t xml:space="preserve">5. Coppa emisferica di produzione locale (IG </w:t>
            </w:r>
            <w:r w:rsidR="00740873" w:rsidRPr="00D45C2F">
              <w:rPr>
                <w:rFonts w:ascii="Titillium Web" w:hAnsi="Titillium Web"/>
                <w:szCs w:val="24"/>
              </w:rPr>
              <w:t>20612; ceramica grigia)</w:t>
            </w:r>
          </w:p>
          <w:p w14:paraId="61666BC3" w14:textId="77777777" w:rsidR="00740873" w:rsidRPr="00D45C2F" w:rsidRDefault="00740873" w:rsidP="00D45C2F">
            <w:pPr>
              <w:jc w:val="center"/>
              <w:rPr>
                <w:rFonts w:ascii="Titillium Web" w:hAnsi="Titillium Web"/>
                <w:szCs w:val="24"/>
              </w:rPr>
            </w:pPr>
            <w:r w:rsidRPr="00D45C2F">
              <w:rPr>
                <w:rFonts w:ascii="Titillium Web" w:hAnsi="Titillium Web"/>
                <w:szCs w:val="24"/>
              </w:rPr>
              <w:t>6. Piatto di produzione locale (IG 1007; ceramica grigia)</w:t>
            </w:r>
          </w:p>
          <w:p w14:paraId="2C74D767" w14:textId="77777777" w:rsidR="00740873" w:rsidRPr="00D45C2F" w:rsidRDefault="00740873" w:rsidP="00D45C2F">
            <w:pPr>
              <w:jc w:val="center"/>
              <w:rPr>
                <w:rFonts w:ascii="Titillium Web" w:hAnsi="Titillium Web"/>
                <w:szCs w:val="24"/>
              </w:rPr>
            </w:pPr>
            <w:r w:rsidRPr="00D45C2F">
              <w:rPr>
                <w:rFonts w:ascii="Titillium Web" w:hAnsi="Titillium Web"/>
                <w:szCs w:val="24"/>
              </w:rPr>
              <w:t>7. Piatto di produzione locale (IG 1008; ceramica grigia)</w:t>
            </w:r>
          </w:p>
          <w:p w14:paraId="5EE32F9C" w14:textId="5822805D" w:rsidR="00740873" w:rsidRPr="00D45C2F" w:rsidRDefault="00740873" w:rsidP="00D45C2F">
            <w:pPr>
              <w:jc w:val="center"/>
              <w:rPr>
                <w:rFonts w:ascii="Titillium Web" w:hAnsi="Titillium Web"/>
                <w:szCs w:val="24"/>
              </w:rPr>
            </w:pPr>
            <w:r w:rsidRPr="00D45C2F">
              <w:rPr>
                <w:rFonts w:ascii="Titillium Web" w:hAnsi="Titillium Web"/>
                <w:szCs w:val="24"/>
              </w:rPr>
              <w:t>8. Piatto di produzione locale (IG 20611; ceramica grigia)</w:t>
            </w:r>
          </w:p>
        </w:tc>
      </w:tr>
      <w:tr w:rsidR="001B5504" w:rsidRPr="00D45C2F" w14:paraId="520D9732" w14:textId="77777777" w:rsidTr="001B5504">
        <w:trPr>
          <w:jc w:val="center"/>
        </w:trPr>
        <w:tc>
          <w:tcPr>
            <w:tcW w:w="1650" w:type="pct"/>
            <w:vAlign w:val="center"/>
          </w:tcPr>
          <w:p w14:paraId="24BE97D5" w14:textId="77777777" w:rsidR="001B5504" w:rsidRPr="00D45C2F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45C2F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3ED37A74" w14:textId="72CCD177" w:rsidR="001B5504" w:rsidRPr="00D45C2F" w:rsidRDefault="00740873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D45C2F">
              <w:rPr>
                <w:rFonts w:ascii="Titillium Web" w:hAnsi="Titillium Web"/>
                <w:szCs w:val="24"/>
              </w:rPr>
              <w:t>Presso la testa</w:t>
            </w:r>
          </w:p>
        </w:tc>
      </w:tr>
      <w:tr w:rsidR="001B5504" w:rsidRPr="00D45C2F" w14:paraId="05ACB002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6E37F2" w14:textId="77777777" w:rsidR="001B5504" w:rsidRPr="00D45C2F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45C2F">
              <w:rPr>
                <w:rFonts w:ascii="Titillium Web" w:hAnsi="Titillium Web"/>
                <w:smallCaps/>
                <w:szCs w:val="24"/>
              </w:rPr>
              <w:t>Stato di conservazione e affidabilità del corredo</w:t>
            </w:r>
          </w:p>
        </w:tc>
        <w:tc>
          <w:tcPr>
            <w:tcW w:w="3350" w:type="pct"/>
            <w:vAlign w:val="center"/>
          </w:tcPr>
          <w:p w14:paraId="66E8A271" w14:textId="07B44F79" w:rsidR="001B5504" w:rsidRPr="00D45C2F" w:rsidRDefault="00D45C2F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D45C2F">
              <w:rPr>
                <w:rFonts w:ascii="Titillium Web" w:hAnsi="Titillium Web"/>
                <w:szCs w:val="24"/>
              </w:rPr>
              <w:t xml:space="preserve">Si escludono dal corredo tre vasi, un fr. di lekythos e di piattello su alto piede a v.n. ed un fr. di piede di una </w:t>
            </w:r>
            <w:r w:rsidRPr="00D45C2F">
              <w:rPr>
                <w:rFonts w:ascii="Titillium Web" w:hAnsi="Titillium Web"/>
                <w:szCs w:val="24"/>
              </w:rPr>
              <w:lastRenderedPageBreak/>
              <w:t>probabile coppa in ceramica grigia, poiché non sono menzionati o non coerenti con la descrizione dei materiali rinvenuti in tomba.</w:t>
            </w:r>
          </w:p>
        </w:tc>
      </w:tr>
      <w:tr w:rsidR="001B5504" w:rsidRPr="00D45C2F" w14:paraId="6E42406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CE8DFDE" w14:textId="77777777" w:rsidR="001B5504" w:rsidRPr="00D45C2F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45C2F">
              <w:rPr>
                <w:rFonts w:ascii="Titillium Web" w:hAnsi="Titillium Web"/>
                <w:smallCaps/>
                <w:szCs w:val="24"/>
              </w:rPr>
              <w:lastRenderedPageBreak/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04E55D8B" w14:textId="15D5D226" w:rsidR="001B5504" w:rsidRPr="00D45C2F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D45C2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D45C2F" w14:paraId="7C1BF645" w14:textId="77777777" w:rsidTr="001B5504">
        <w:trPr>
          <w:jc w:val="center"/>
        </w:trPr>
        <w:tc>
          <w:tcPr>
            <w:tcW w:w="1650" w:type="pct"/>
            <w:vAlign w:val="center"/>
          </w:tcPr>
          <w:p w14:paraId="7EADEEB5" w14:textId="77777777" w:rsidR="001B5504" w:rsidRPr="00D45C2F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45C2F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5D17FB99" w14:textId="46EBB367" w:rsidR="001B5504" w:rsidRPr="00D45C2F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D45C2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D45C2F" w14:paraId="498C422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7C39F2A" w14:textId="77777777" w:rsidR="001B5504" w:rsidRPr="00D45C2F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45C2F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3FA8CB4E" w14:textId="5B4E47B7" w:rsidR="001B5504" w:rsidRPr="00D45C2F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D45C2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D45C2F" w14:paraId="698056B7" w14:textId="77777777" w:rsidTr="001B5504">
        <w:trPr>
          <w:jc w:val="center"/>
        </w:trPr>
        <w:tc>
          <w:tcPr>
            <w:tcW w:w="1650" w:type="pct"/>
            <w:vAlign w:val="center"/>
          </w:tcPr>
          <w:p w14:paraId="225E12C1" w14:textId="77777777" w:rsidR="001B5504" w:rsidRPr="00D45C2F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45C2F">
              <w:rPr>
                <w:rFonts w:ascii="Titillium Web" w:hAnsi="Titillium Web"/>
                <w:smallCaps/>
                <w:szCs w:val="24"/>
              </w:rPr>
              <w:t>Cronologia</w:t>
            </w:r>
          </w:p>
        </w:tc>
        <w:tc>
          <w:tcPr>
            <w:tcW w:w="3350" w:type="pct"/>
            <w:vAlign w:val="center"/>
          </w:tcPr>
          <w:p w14:paraId="440AB2F6" w14:textId="65221464" w:rsidR="001B5504" w:rsidRPr="00D45C2F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D45C2F">
              <w:rPr>
                <w:rFonts w:ascii="Titillium Web" w:hAnsi="Titillium Web"/>
                <w:szCs w:val="24"/>
              </w:rPr>
              <w:t>300 a.C. circa</w:t>
            </w:r>
          </w:p>
        </w:tc>
      </w:tr>
      <w:tr w:rsidR="001B5504" w:rsidRPr="00D45C2F" w14:paraId="3105DEE4" w14:textId="77777777" w:rsidTr="001B5504">
        <w:trPr>
          <w:jc w:val="center"/>
        </w:trPr>
        <w:tc>
          <w:tcPr>
            <w:tcW w:w="1650" w:type="pct"/>
            <w:vAlign w:val="center"/>
          </w:tcPr>
          <w:p w14:paraId="2DF8B210" w14:textId="77777777" w:rsidR="001B5504" w:rsidRPr="00D45C2F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45C2F">
              <w:rPr>
                <w:rFonts w:ascii="Titillium Web" w:hAnsi="Titillium Web"/>
                <w:smallCaps/>
                <w:szCs w:val="24"/>
              </w:rPr>
              <w:t>Bibliografia (della tomba)</w:t>
            </w:r>
          </w:p>
        </w:tc>
        <w:tc>
          <w:tcPr>
            <w:tcW w:w="3350" w:type="pct"/>
            <w:vAlign w:val="center"/>
          </w:tcPr>
          <w:p w14:paraId="38D3D101" w14:textId="0DF53540" w:rsidR="001B5504" w:rsidRPr="00D45C2F" w:rsidRDefault="000F3B33" w:rsidP="00BF212E">
            <w:pPr>
              <w:jc w:val="center"/>
              <w:rPr>
                <w:rFonts w:ascii="Titillium Web" w:hAnsi="Titillium Web"/>
                <w:szCs w:val="24"/>
              </w:rPr>
            </w:pPr>
            <w:r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D45C2F" w14:paraId="6887A6E3" w14:textId="77777777" w:rsidTr="001B5504">
        <w:trPr>
          <w:jc w:val="center"/>
        </w:trPr>
        <w:tc>
          <w:tcPr>
            <w:tcW w:w="1650" w:type="pct"/>
            <w:vAlign w:val="center"/>
          </w:tcPr>
          <w:p w14:paraId="4944AE43" w14:textId="77777777" w:rsidR="001B5504" w:rsidRPr="00D45C2F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45C2F">
              <w:rPr>
                <w:rFonts w:ascii="Titillium Web" w:hAnsi="Titillium Web"/>
                <w:smallCaps/>
                <w:szCs w:val="24"/>
              </w:rPr>
              <w:t>Link alla pubblicazione</w:t>
            </w:r>
          </w:p>
        </w:tc>
        <w:tc>
          <w:tcPr>
            <w:tcW w:w="3350" w:type="pct"/>
            <w:vAlign w:val="center"/>
          </w:tcPr>
          <w:p w14:paraId="6ADE2D95" w14:textId="5EBDA977" w:rsidR="001B5504" w:rsidRPr="00D45C2F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</w:p>
        </w:tc>
      </w:tr>
    </w:tbl>
    <w:p w14:paraId="4DC97993" w14:textId="77777777" w:rsidR="001B5504" w:rsidRPr="00C30F5C" w:rsidRDefault="001B550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</w:p>
    <w:sectPr w:rsidR="001B5504" w:rsidRPr="00C30F5C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35997"/>
    <w:multiLevelType w:val="hybridMultilevel"/>
    <w:tmpl w:val="C2DE6EE8"/>
    <w:lvl w:ilvl="0" w:tplc="FD9E36EE">
      <w:start w:val="1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195BB3"/>
    <w:multiLevelType w:val="hybridMultilevel"/>
    <w:tmpl w:val="6C4E81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3980534">
    <w:abstractNumId w:val="0"/>
  </w:num>
  <w:num w:numId="2" w16cid:durableId="1139692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B2D"/>
    <w:rsid w:val="00014214"/>
    <w:rsid w:val="000D72F4"/>
    <w:rsid w:val="000F3B33"/>
    <w:rsid w:val="001B5504"/>
    <w:rsid w:val="001F2833"/>
    <w:rsid w:val="00276DAB"/>
    <w:rsid w:val="0029024B"/>
    <w:rsid w:val="002977D7"/>
    <w:rsid w:val="002F1500"/>
    <w:rsid w:val="00442AB6"/>
    <w:rsid w:val="00472AF4"/>
    <w:rsid w:val="005B5AFF"/>
    <w:rsid w:val="0068458A"/>
    <w:rsid w:val="00710B38"/>
    <w:rsid w:val="007145BC"/>
    <w:rsid w:val="00740873"/>
    <w:rsid w:val="007D54CD"/>
    <w:rsid w:val="00942E70"/>
    <w:rsid w:val="00943EAC"/>
    <w:rsid w:val="00950348"/>
    <w:rsid w:val="00951AE4"/>
    <w:rsid w:val="00975CA9"/>
    <w:rsid w:val="00997946"/>
    <w:rsid w:val="009E4922"/>
    <w:rsid w:val="009F3183"/>
    <w:rsid w:val="00A52A70"/>
    <w:rsid w:val="00B165C4"/>
    <w:rsid w:val="00B86B2D"/>
    <w:rsid w:val="00BE2CB2"/>
    <w:rsid w:val="00BE63CC"/>
    <w:rsid w:val="00BF212E"/>
    <w:rsid w:val="00C21EE0"/>
    <w:rsid w:val="00C30F5C"/>
    <w:rsid w:val="00CC46E5"/>
    <w:rsid w:val="00D45C2F"/>
    <w:rsid w:val="00D54723"/>
    <w:rsid w:val="00DB1668"/>
    <w:rsid w:val="00E0524C"/>
    <w:rsid w:val="00E63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66EA0"/>
  <w15:chartTrackingRefBased/>
  <w15:docId w15:val="{475B289C-F9A1-4717-B3D6-E982B8FC7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14214"/>
  </w:style>
  <w:style w:type="paragraph" w:styleId="Titolo1">
    <w:name w:val="heading 1"/>
    <w:basedOn w:val="Normale"/>
    <w:next w:val="Normale"/>
    <w:link w:val="Titolo1Carattere"/>
    <w:uiPriority w:val="9"/>
    <w:qFormat/>
    <w:rsid w:val="00B86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86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86B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86B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86B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86B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86B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86B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86B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86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86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86B2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86B2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86B2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86B2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86B2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86B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86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86B2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86B2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86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86B2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86B2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86B2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86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86B2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86B2D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01421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ipertestuale">
    <w:name w:val="Hyperlink"/>
    <w:basedOn w:val="Carpredefinitoparagrafo"/>
    <w:uiPriority w:val="99"/>
    <w:unhideWhenUsed/>
    <w:rsid w:val="00950348"/>
    <w:rPr>
      <w:color w:val="467886" w:themeColor="hyperlink"/>
      <w:u w:val="single"/>
    </w:rPr>
  </w:style>
  <w:style w:type="paragraph" w:styleId="Revisione">
    <w:name w:val="Revision"/>
    <w:hidden/>
    <w:uiPriority w:val="99"/>
    <w:semiHidden/>
    <w:rsid w:val="00710B38"/>
    <w:pPr>
      <w:spacing w:after="0"/>
      <w:jc w:val="left"/>
    </w:pPr>
  </w:style>
  <w:style w:type="character" w:styleId="Rimandocommento">
    <w:name w:val="annotation reference"/>
    <w:basedOn w:val="Carpredefinitoparagrafo"/>
    <w:uiPriority w:val="99"/>
    <w:semiHidden/>
    <w:unhideWhenUsed/>
    <w:rsid w:val="00710B38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710B38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710B38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710B38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710B3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286</Words>
  <Characters>1635</Characters>
  <Application>Microsoft Office Word</Application>
  <DocSecurity>0</DocSecurity>
  <Lines>13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16</cp:revision>
  <dcterms:created xsi:type="dcterms:W3CDTF">2026-04-28T14:33:00Z</dcterms:created>
  <dcterms:modified xsi:type="dcterms:W3CDTF">2026-05-18T08:41:00Z</dcterms:modified>
</cp:coreProperties>
</file>