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994</w:t>
      </w:r>
    </w:p>
    <w:tbl>
      <w:tblPr>
        <w:tblStyle w:val="Grigliatabella"/>
        <w:tblW w:w="5000" w:type="pct"/>
        <w:jc w:val="center"/>
        <w:tblLook w:val="04A0" w:firstRow="1" w:lastRow="0" w:firstColumn="1" w:lastColumn="0" w:noHBand="0" w:noVBand="1"/>
      </w:tblPr>
      <w:tblGrid>
        <w:gridCol w:w="2990"/>
        <w:gridCol w:w="6070"/>
      </w:tblGrid>
      <w:tr w:rsidR="0086297F" w:rsidRPr="00BB55AD" w14:paraId="69604347" w14:textId="77777777" w:rsidTr="002665C6">
        <w:trPr>
          <w:jc w:val="center"/>
        </w:trPr>
        <w:tc>
          <w:tcPr>
            <w:tcW w:w="1650" w:type="pct"/>
            <w:vAlign w:val="center"/>
          </w:tcPr>
          <w:p w14:paraId="59258D49"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Anno di rinvenimento</w:t>
            </w:r>
          </w:p>
        </w:tc>
        <w:tc>
          <w:tcPr>
            <w:tcW w:w="3350" w:type="pct"/>
            <w:vAlign w:val="center"/>
          </w:tcPr>
          <w:p w14:paraId="10AA1E7C" w14:textId="59BFE2EE" w:rsidR="0086297F" w:rsidRPr="00BB55AD" w:rsidRDefault="0086297F" w:rsidP="002665C6">
            <w:pPr>
              <w:jc w:val="center"/>
              <w:rPr>
                <w:rFonts w:ascii="Titillium Web" w:hAnsi="Titillium Web"/>
                <w:szCs w:val="24"/>
              </w:rPr>
            </w:pPr>
            <w:r w:rsidRPr="00BB55AD">
              <w:rPr>
                <w:rFonts w:ascii="Titillium Web" w:hAnsi="Titillium Web"/>
                <w:szCs w:val="24"/>
              </w:rPr>
              <w:t>1928</w:t>
            </w:r>
          </w:p>
        </w:tc>
      </w:tr>
      <w:tr w:rsidR="0086297F" w:rsidRPr="00BB55AD" w14:paraId="3B6B9C62" w14:textId="77777777" w:rsidTr="002665C6">
        <w:trPr>
          <w:jc w:val="center"/>
        </w:trPr>
        <w:tc>
          <w:tcPr>
            <w:tcW w:w="1650" w:type="pct"/>
            <w:vAlign w:val="center"/>
          </w:tcPr>
          <w:p w14:paraId="2D01D888"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Stato di conservazione della tomba</w:t>
            </w:r>
          </w:p>
        </w:tc>
        <w:tc>
          <w:tcPr>
            <w:tcW w:w="3350" w:type="pct"/>
            <w:vAlign w:val="center"/>
          </w:tcPr>
          <w:p w14:paraId="3ADC95CD" w14:textId="31719CCD" w:rsidR="0086297F" w:rsidRPr="00BB55AD" w:rsidRDefault="0086297F" w:rsidP="002665C6">
            <w:pPr>
              <w:jc w:val="center"/>
              <w:rPr>
                <w:rFonts w:ascii="Titillium Web" w:hAnsi="Titillium Web"/>
                <w:szCs w:val="24"/>
              </w:rPr>
            </w:pPr>
            <w:r w:rsidRPr="00BB55AD">
              <w:rPr>
                <w:rFonts w:ascii="Titillium Web" w:hAnsi="Titillium Web"/>
                <w:szCs w:val="24"/>
              </w:rPr>
              <w:t>Intatta</w:t>
            </w:r>
          </w:p>
        </w:tc>
      </w:tr>
      <w:tr w:rsidR="0086297F" w:rsidRPr="00BB55AD" w14:paraId="3D165E1E" w14:textId="77777777" w:rsidTr="002665C6">
        <w:trPr>
          <w:jc w:val="center"/>
        </w:trPr>
        <w:tc>
          <w:tcPr>
            <w:tcW w:w="1650" w:type="pct"/>
            <w:vAlign w:val="center"/>
          </w:tcPr>
          <w:p w14:paraId="2A5B3D4F"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Rito di seppellimento</w:t>
            </w:r>
          </w:p>
        </w:tc>
        <w:tc>
          <w:tcPr>
            <w:tcW w:w="3350" w:type="pct"/>
            <w:vAlign w:val="center"/>
          </w:tcPr>
          <w:p w14:paraId="094BD426" w14:textId="6E99443A" w:rsidR="0086297F" w:rsidRPr="00BB55AD" w:rsidRDefault="0086297F" w:rsidP="002665C6">
            <w:pPr>
              <w:jc w:val="center"/>
              <w:rPr>
                <w:rFonts w:ascii="Titillium Web" w:hAnsi="Titillium Web"/>
                <w:szCs w:val="24"/>
              </w:rPr>
            </w:pPr>
            <w:r w:rsidRPr="00BB55AD">
              <w:rPr>
                <w:rFonts w:ascii="Titillium Web" w:hAnsi="Titillium Web"/>
                <w:szCs w:val="24"/>
              </w:rPr>
              <w:t>Inumazione</w:t>
            </w:r>
          </w:p>
        </w:tc>
      </w:tr>
      <w:tr w:rsidR="0086297F" w:rsidRPr="00BB55AD" w14:paraId="44CADBCB" w14:textId="77777777" w:rsidTr="002665C6">
        <w:trPr>
          <w:jc w:val="center"/>
        </w:trPr>
        <w:tc>
          <w:tcPr>
            <w:tcW w:w="1650" w:type="pct"/>
            <w:vAlign w:val="center"/>
          </w:tcPr>
          <w:p w14:paraId="1E25741A"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Struttura tomba</w:t>
            </w:r>
          </w:p>
        </w:tc>
        <w:tc>
          <w:tcPr>
            <w:tcW w:w="3350" w:type="pct"/>
            <w:vAlign w:val="center"/>
          </w:tcPr>
          <w:p w14:paraId="1DE3BCB3" w14:textId="08DB6A85" w:rsidR="0086297F" w:rsidRPr="00BB55AD" w:rsidRDefault="0086297F" w:rsidP="002665C6">
            <w:pPr>
              <w:jc w:val="center"/>
              <w:rPr>
                <w:rFonts w:ascii="Titillium Web" w:hAnsi="Titillium Web"/>
                <w:szCs w:val="24"/>
              </w:rPr>
            </w:pPr>
            <w:r w:rsidRPr="00BB55AD">
              <w:rPr>
                <w:rFonts w:ascii="Titillium Web" w:hAnsi="Titillium Web"/>
                <w:szCs w:val="24"/>
              </w:rPr>
              <w:t>fossa semplice, forma non registrata</w:t>
            </w:r>
          </w:p>
        </w:tc>
      </w:tr>
      <w:tr w:rsidR="0086297F" w:rsidRPr="00BB55AD" w14:paraId="47E1F943" w14:textId="77777777" w:rsidTr="002665C6">
        <w:trPr>
          <w:jc w:val="center"/>
        </w:trPr>
        <w:tc>
          <w:tcPr>
            <w:tcW w:w="1650" w:type="pct"/>
            <w:vAlign w:val="center"/>
          </w:tcPr>
          <w:p w14:paraId="355EE080"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 xml:space="preserve">Profondità dal piano di campagna </w:t>
            </w:r>
          </w:p>
        </w:tc>
        <w:tc>
          <w:tcPr>
            <w:tcW w:w="3350" w:type="pct"/>
            <w:vAlign w:val="center"/>
          </w:tcPr>
          <w:p w14:paraId="13D75B9B" w14:textId="6492371F" w:rsidR="0086297F" w:rsidRPr="00BB55AD" w:rsidRDefault="0086297F" w:rsidP="002665C6">
            <w:pPr>
              <w:jc w:val="center"/>
              <w:rPr>
                <w:rFonts w:ascii="Titillium Web" w:hAnsi="Titillium Web"/>
                <w:szCs w:val="24"/>
              </w:rPr>
            </w:pPr>
            <w:r w:rsidRPr="00BB55AD">
              <w:rPr>
                <w:rFonts w:ascii="Titillium Web" w:hAnsi="Titillium Web"/>
                <w:szCs w:val="24"/>
              </w:rPr>
              <w:t>1,05 m</w:t>
            </w:r>
          </w:p>
        </w:tc>
      </w:tr>
      <w:tr w:rsidR="0086297F" w:rsidRPr="00BB55AD" w14:paraId="75BC79FE" w14:textId="77777777" w:rsidTr="002665C6">
        <w:trPr>
          <w:jc w:val="center"/>
        </w:trPr>
        <w:tc>
          <w:tcPr>
            <w:tcW w:w="1650" w:type="pct"/>
            <w:vAlign w:val="center"/>
          </w:tcPr>
          <w:p w14:paraId="432462C5"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Dimensioni della sepoltura</w:t>
            </w:r>
          </w:p>
        </w:tc>
        <w:tc>
          <w:tcPr>
            <w:tcW w:w="3350" w:type="pct"/>
            <w:vAlign w:val="center"/>
          </w:tcPr>
          <w:p w14:paraId="65EDFAD4" w14:textId="5859930D" w:rsidR="0086297F" w:rsidRPr="00BB55AD" w:rsidRDefault="0086297F" w:rsidP="002665C6">
            <w:pPr>
              <w:jc w:val="center"/>
              <w:rPr>
                <w:rFonts w:ascii="Titillium Web" w:hAnsi="Titillium Web"/>
                <w:szCs w:val="24"/>
              </w:rPr>
            </w:pPr>
            <w:r w:rsidRPr="00BB55AD">
              <w:rPr>
                <w:rFonts w:ascii="Titillium Web" w:hAnsi="Titillium Web"/>
                <w:szCs w:val="24"/>
              </w:rPr>
              <w:t>Dimensioni non registrate</w:t>
            </w:r>
          </w:p>
        </w:tc>
      </w:tr>
      <w:tr w:rsidR="0086297F" w:rsidRPr="00BB55AD" w14:paraId="35E5C09E" w14:textId="77777777" w:rsidTr="002665C6">
        <w:trPr>
          <w:jc w:val="center"/>
        </w:trPr>
        <w:tc>
          <w:tcPr>
            <w:tcW w:w="1650" w:type="pct"/>
            <w:vAlign w:val="center"/>
          </w:tcPr>
          <w:p w14:paraId="5AA10374"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Orientamento dello scheletro</w:t>
            </w:r>
          </w:p>
        </w:tc>
        <w:tc>
          <w:tcPr>
            <w:tcW w:w="3350" w:type="pct"/>
            <w:vAlign w:val="center"/>
          </w:tcPr>
          <w:p w14:paraId="6E0E4E7B" w14:textId="7F6B3E0C" w:rsidR="0086297F" w:rsidRPr="00BB55AD" w:rsidRDefault="0086297F" w:rsidP="002665C6">
            <w:pPr>
              <w:jc w:val="center"/>
              <w:rPr>
                <w:rFonts w:ascii="Titillium Web" w:hAnsi="Titillium Web"/>
                <w:szCs w:val="24"/>
              </w:rPr>
            </w:pPr>
            <w:r w:rsidRPr="00BB55AD">
              <w:rPr>
                <w:rFonts w:ascii="Titillium Web" w:hAnsi="Titillium Web"/>
                <w:szCs w:val="24"/>
              </w:rPr>
              <w:t>NW-SE</w:t>
            </w:r>
          </w:p>
        </w:tc>
      </w:tr>
      <w:tr w:rsidR="0086297F" w:rsidRPr="00BB55AD" w14:paraId="71236441" w14:textId="77777777" w:rsidTr="002665C6">
        <w:trPr>
          <w:jc w:val="center"/>
        </w:trPr>
        <w:tc>
          <w:tcPr>
            <w:tcW w:w="1650" w:type="pct"/>
            <w:vAlign w:val="center"/>
          </w:tcPr>
          <w:p w14:paraId="4A1B31A8"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Segnacolo</w:t>
            </w:r>
          </w:p>
        </w:tc>
        <w:tc>
          <w:tcPr>
            <w:tcW w:w="3350" w:type="pct"/>
            <w:vAlign w:val="center"/>
          </w:tcPr>
          <w:p w14:paraId="104CE615" w14:textId="50385AE1" w:rsidR="0086297F" w:rsidRPr="00BB55AD" w:rsidRDefault="0086297F" w:rsidP="002665C6">
            <w:pPr>
              <w:jc w:val="center"/>
              <w:rPr>
                <w:rFonts w:ascii="Titillium Web" w:hAnsi="Titillium Web"/>
                <w:szCs w:val="24"/>
              </w:rPr>
            </w:pPr>
            <w:r w:rsidRPr="00BB55AD">
              <w:rPr>
                <w:rFonts w:ascii="Titillium Web" w:hAnsi="Titillium Web"/>
                <w:szCs w:val="24"/>
              </w:rPr>
              <w:t>/</w:t>
            </w:r>
          </w:p>
        </w:tc>
      </w:tr>
      <w:tr w:rsidR="0086297F" w:rsidRPr="00BB55AD" w14:paraId="6D6CBA71" w14:textId="77777777" w:rsidTr="002665C6">
        <w:trPr>
          <w:jc w:val="center"/>
        </w:trPr>
        <w:tc>
          <w:tcPr>
            <w:tcW w:w="1650" w:type="pct"/>
            <w:vAlign w:val="center"/>
          </w:tcPr>
          <w:p w14:paraId="75CA0D64"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Giornale di scavo</w:t>
            </w:r>
          </w:p>
        </w:tc>
        <w:tc>
          <w:tcPr>
            <w:tcW w:w="3350" w:type="pct"/>
            <w:vAlign w:val="center"/>
          </w:tcPr>
          <w:p w14:paraId="1778DAD5" w14:textId="77777777" w:rsidR="005A120C" w:rsidRPr="00BB55AD" w:rsidRDefault="000864B3">
            <w:pPr>
              <w:rPr>
                <w:rFonts w:ascii="Titillium Web" w:hAnsi="Titillium Web"/>
                <w:i/>
                <w:iCs/>
                <w:szCs w:val="24"/>
              </w:rPr>
            </w:pPr>
            <w:r w:rsidRPr="00BB55AD">
              <w:rPr>
                <w:rFonts w:ascii="Titillium Web" w:hAnsi="Titillium Web"/>
                <w:i/>
                <w:iCs/>
                <w:szCs w:val="24"/>
              </w:rPr>
              <w:t>Nel mezzo circa della fetta di levante, del Campo 52, a m 90 circa dal B, e a m 300 circa dal D.B., si eleva un piccolo dosso di sabbia nel mezzo del quale, ieri sera per caso, nell’affondare un palo per delle misurazioni, si riscontrò la bocca di un’anfora pontuta. Stamane si è eseguito lo scavo e si rinvennero due tombe a umazione che qui descrivo.</w:t>
            </w:r>
          </w:p>
          <w:p w14:paraId="126FE3E4" w14:textId="77777777" w:rsidR="005A120C" w:rsidRPr="00BB55AD" w:rsidRDefault="005A120C">
            <w:pPr>
              <w:rPr>
                <w:rFonts w:ascii="Titillium Web" w:hAnsi="Titillium Web"/>
                <w:i/>
                <w:iCs/>
                <w:szCs w:val="24"/>
              </w:rPr>
            </w:pPr>
          </w:p>
          <w:p w14:paraId="69865261" w14:textId="77777777" w:rsidR="005A120C" w:rsidRPr="00BB55AD" w:rsidRDefault="000864B3">
            <w:pPr>
              <w:rPr>
                <w:rFonts w:ascii="Titillium Web" w:hAnsi="Titillium Web"/>
                <w:i/>
                <w:iCs/>
                <w:szCs w:val="24"/>
              </w:rPr>
            </w:pPr>
            <w:r w:rsidRPr="00BB55AD">
              <w:rPr>
                <w:rFonts w:ascii="Titillium Web" w:hAnsi="Titillium Web"/>
                <w:i/>
                <w:iCs/>
                <w:szCs w:val="24"/>
              </w:rPr>
              <w:t>Tomba 994 a umazione -</w:t>
            </w:r>
          </w:p>
          <w:p w14:paraId="6113480D" w14:textId="77777777" w:rsidR="005A120C" w:rsidRPr="00BB55AD" w:rsidRDefault="005A120C">
            <w:pPr>
              <w:rPr>
                <w:rFonts w:ascii="Titillium Web" w:hAnsi="Titillium Web"/>
                <w:i/>
                <w:iCs/>
                <w:szCs w:val="24"/>
              </w:rPr>
            </w:pPr>
          </w:p>
          <w:p w14:paraId="3BBFFB61" w14:textId="77777777" w:rsidR="005A120C" w:rsidRPr="00BB55AD" w:rsidRDefault="000864B3">
            <w:pPr>
              <w:rPr>
                <w:rFonts w:ascii="Titillium Web" w:hAnsi="Titillium Web"/>
                <w:i/>
                <w:iCs/>
                <w:szCs w:val="24"/>
              </w:rPr>
            </w:pPr>
            <w:r w:rsidRPr="00BB55AD">
              <w:rPr>
                <w:rFonts w:ascii="Titillium Web" w:hAnsi="Titillium Web"/>
                <w:i/>
                <w:iCs/>
                <w:szCs w:val="24"/>
              </w:rPr>
              <w:t>A m 88 dal B, a m 279 a sud del Donna Bianca, a m 1,05 di profondità giaceva uno scheletro orientato da nord ovest a sud est (è sepolto nella sabbia pura).</w:t>
            </w:r>
          </w:p>
          <w:p w14:paraId="4F1B9E37" w14:textId="77777777" w:rsidR="005A120C" w:rsidRPr="00BB55AD" w:rsidRDefault="000864B3">
            <w:pPr>
              <w:rPr>
                <w:rFonts w:ascii="Titillium Web" w:hAnsi="Titillium Web"/>
                <w:i/>
                <w:iCs/>
                <w:szCs w:val="24"/>
              </w:rPr>
            </w:pPr>
            <w:r w:rsidRPr="00BB55AD">
              <w:rPr>
                <w:rFonts w:ascii="Titillium Web" w:hAnsi="Titillium Web"/>
                <w:i/>
                <w:iCs/>
                <w:szCs w:val="24"/>
              </w:rPr>
              <w:t>Nella mano destra dello scheletro:</w:t>
            </w:r>
          </w:p>
          <w:p w14:paraId="719185FC" w14:textId="77777777" w:rsidR="005A120C" w:rsidRPr="00BB55AD" w:rsidRDefault="000864B3">
            <w:pPr>
              <w:rPr>
                <w:rFonts w:ascii="Titillium Web" w:hAnsi="Titillium Web"/>
                <w:i/>
                <w:iCs/>
                <w:szCs w:val="24"/>
              </w:rPr>
            </w:pPr>
            <w:r w:rsidRPr="00BB55AD">
              <w:rPr>
                <w:rFonts w:ascii="Titillium Web" w:hAnsi="Titillium Web"/>
                <w:i/>
                <w:iCs/>
                <w:szCs w:val="24"/>
              </w:rPr>
              <w:t>1 frammentino informe di bronzo</w:t>
            </w:r>
          </w:p>
          <w:p w14:paraId="76CE04DD" w14:textId="77777777" w:rsidR="005A120C" w:rsidRPr="00BB55AD" w:rsidRDefault="000864B3">
            <w:pPr>
              <w:rPr>
                <w:rFonts w:ascii="Titillium Web" w:hAnsi="Titillium Web"/>
                <w:i/>
                <w:iCs/>
                <w:szCs w:val="24"/>
              </w:rPr>
            </w:pPr>
            <w:r w:rsidRPr="00BB55AD">
              <w:rPr>
                <w:rFonts w:ascii="Titillium Web" w:hAnsi="Titillium Web"/>
                <w:i/>
                <w:iCs/>
                <w:szCs w:val="24"/>
              </w:rPr>
              <w:t>A destra dello scheletro si raccolsero:</w:t>
            </w:r>
          </w:p>
          <w:p w14:paraId="589D76EA" w14:textId="77777777" w:rsidR="005A120C" w:rsidRPr="00BB55AD" w:rsidRDefault="000864B3">
            <w:pPr>
              <w:rPr>
                <w:rFonts w:ascii="Titillium Web" w:hAnsi="Titillium Web"/>
                <w:i/>
                <w:iCs/>
                <w:szCs w:val="24"/>
              </w:rPr>
            </w:pPr>
            <w:r w:rsidRPr="00BB55AD">
              <w:rPr>
                <w:rFonts w:ascii="Titillium Web" w:hAnsi="Titillium Web"/>
                <w:i/>
                <w:iCs/>
                <w:szCs w:val="24"/>
              </w:rPr>
              <w:t>1 kotylos troncoconico a vern. n., con fascia in rosso risparmiato e sulla quale è tracciato un reticolato di linee nere incrociantesi presso il piede. È in frammenti.</w:t>
            </w:r>
          </w:p>
          <w:p w14:paraId="2BE7C6C0" w14:textId="77777777" w:rsidR="005A120C" w:rsidRPr="00BB55AD" w:rsidRDefault="000864B3">
            <w:pPr>
              <w:rPr>
                <w:rFonts w:ascii="Titillium Web" w:hAnsi="Titillium Web"/>
                <w:i/>
                <w:iCs/>
                <w:szCs w:val="24"/>
              </w:rPr>
            </w:pPr>
            <w:r w:rsidRPr="00BB55AD">
              <w:rPr>
                <w:rFonts w:ascii="Titillium Web" w:hAnsi="Titillium Web"/>
                <w:i/>
                <w:iCs/>
                <w:szCs w:val="24"/>
              </w:rPr>
              <w:t>1 lucernina discoidale, piatta, con ansa orizzontale, a vern. nera scadente. È leggermente slabbrata nel beccuccio.</w:t>
            </w:r>
          </w:p>
          <w:p w14:paraId="75C0821F" w14:textId="77777777" w:rsidR="005A120C" w:rsidRPr="00BB55AD" w:rsidRDefault="000864B3">
            <w:pPr>
              <w:rPr>
                <w:rFonts w:ascii="Titillium Web" w:hAnsi="Titillium Web"/>
                <w:i/>
                <w:iCs/>
                <w:szCs w:val="24"/>
              </w:rPr>
            </w:pPr>
            <w:r w:rsidRPr="00BB55AD">
              <w:rPr>
                <w:rFonts w:ascii="Titillium Web" w:hAnsi="Titillium Web"/>
                <w:i/>
                <w:iCs/>
                <w:szCs w:val="24"/>
              </w:rPr>
              <w:t>1 scodellino con peduccio, a vern. n. intero</w:t>
            </w:r>
          </w:p>
          <w:p w14:paraId="754CDF50" w14:textId="77777777" w:rsidR="005A120C" w:rsidRPr="00BB55AD" w:rsidRDefault="000864B3">
            <w:pPr>
              <w:rPr>
                <w:rFonts w:ascii="Titillium Web" w:hAnsi="Titillium Web"/>
                <w:i/>
                <w:iCs/>
                <w:szCs w:val="24"/>
              </w:rPr>
            </w:pPr>
            <w:proofErr w:type="gramStart"/>
            <w:r w:rsidRPr="00BB55AD">
              <w:rPr>
                <w:rFonts w:ascii="Titillium Web" w:hAnsi="Titillium Web"/>
                <w:i/>
                <w:iCs/>
                <w:szCs w:val="24"/>
              </w:rPr>
              <w:t>2</w:t>
            </w:r>
            <w:proofErr w:type="gramEnd"/>
            <w:r w:rsidRPr="00BB55AD">
              <w:rPr>
                <w:rFonts w:ascii="Titillium Web" w:hAnsi="Titillium Web"/>
                <w:i/>
                <w:iCs/>
                <w:szCs w:val="24"/>
              </w:rPr>
              <w:t xml:space="preserve"> piatti di argilla giallastra, grezzi, con piede alto entro ai quali erano gusci di uova</w:t>
            </w:r>
          </w:p>
          <w:p w14:paraId="211FEA3D" w14:textId="77777777" w:rsidR="005A120C" w:rsidRPr="00BB55AD" w:rsidRDefault="000864B3">
            <w:pPr>
              <w:rPr>
                <w:rFonts w:ascii="Titillium Web" w:hAnsi="Titillium Web"/>
                <w:i/>
                <w:iCs/>
                <w:szCs w:val="24"/>
              </w:rPr>
            </w:pPr>
            <w:proofErr w:type="gramStart"/>
            <w:r w:rsidRPr="00BB55AD">
              <w:rPr>
                <w:rFonts w:ascii="Titillium Web" w:hAnsi="Titillium Web"/>
                <w:i/>
                <w:iCs/>
                <w:szCs w:val="24"/>
              </w:rPr>
              <w:t>2</w:t>
            </w:r>
            <w:proofErr w:type="gramEnd"/>
            <w:r w:rsidRPr="00BB55AD">
              <w:rPr>
                <w:rFonts w:ascii="Titillium Web" w:hAnsi="Titillium Web"/>
                <w:i/>
                <w:iCs/>
                <w:szCs w:val="24"/>
              </w:rPr>
              <w:t xml:space="preserve"> piattelli idem, senza piede</w:t>
            </w:r>
          </w:p>
          <w:p w14:paraId="6069E878" w14:textId="77777777" w:rsidR="005A120C" w:rsidRPr="00BB55AD" w:rsidRDefault="000864B3">
            <w:pPr>
              <w:rPr>
                <w:rFonts w:ascii="Titillium Web" w:hAnsi="Titillium Web"/>
                <w:i/>
                <w:iCs/>
                <w:szCs w:val="24"/>
              </w:rPr>
            </w:pPr>
            <w:r w:rsidRPr="00BB55AD">
              <w:rPr>
                <w:rFonts w:ascii="Titillium Web" w:hAnsi="Titillium Web"/>
                <w:i/>
                <w:iCs/>
                <w:szCs w:val="24"/>
              </w:rPr>
              <w:t>1 scodellino di argilla uguale, in frammenti.</w:t>
            </w:r>
          </w:p>
          <w:p w14:paraId="5A083A47" w14:textId="77777777" w:rsidR="005A120C" w:rsidRPr="00BB55AD" w:rsidRDefault="000864B3">
            <w:pPr>
              <w:rPr>
                <w:rFonts w:ascii="Titillium Web" w:hAnsi="Titillium Web"/>
                <w:i/>
                <w:iCs/>
                <w:szCs w:val="24"/>
              </w:rPr>
            </w:pPr>
            <w:r w:rsidRPr="00BB55AD">
              <w:rPr>
                <w:rFonts w:ascii="Titillium Web" w:hAnsi="Titillium Web"/>
                <w:i/>
                <w:iCs/>
                <w:szCs w:val="24"/>
              </w:rPr>
              <w:lastRenderedPageBreak/>
              <w:t>Presso la mano sin. dello scheletro:</w:t>
            </w:r>
          </w:p>
          <w:p w14:paraId="08B0AB36" w14:textId="77777777" w:rsidR="005A120C" w:rsidRPr="00BB55AD" w:rsidRDefault="000864B3">
            <w:pPr>
              <w:rPr>
                <w:rFonts w:ascii="Titillium Web" w:hAnsi="Titillium Web"/>
                <w:i/>
                <w:iCs/>
                <w:szCs w:val="24"/>
              </w:rPr>
            </w:pPr>
            <w:r w:rsidRPr="00BB55AD">
              <w:rPr>
                <w:rFonts w:ascii="Titillium Web" w:hAnsi="Titillium Web"/>
                <w:i/>
                <w:iCs/>
                <w:szCs w:val="24"/>
              </w:rPr>
              <w:t>1 oinochoe di forma ovoidale, con bocca trilobata e ansa verticale: è a fig. nere su fondo giallastro grezzo dell’argilla: il disegno rappresenta una figura maschile barbata (satiro?) con cornucopia in mano, davanti a un caprone.</w:t>
            </w:r>
          </w:p>
          <w:p w14:paraId="7CA4DBEE" w14:textId="77777777" w:rsidR="005A120C" w:rsidRPr="00BB55AD" w:rsidRDefault="000864B3">
            <w:pPr>
              <w:rPr>
                <w:rFonts w:ascii="Titillium Web" w:hAnsi="Titillium Web"/>
                <w:i/>
                <w:iCs/>
                <w:szCs w:val="24"/>
              </w:rPr>
            </w:pPr>
            <w:r w:rsidRPr="00BB55AD">
              <w:rPr>
                <w:rFonts w:ascii="Titillium Web" w:hAnsi="Titillium Web"/>
                <w:i/>
                <w:iCs/>
                <w:szCs w:val="24"/>
              </w:rPr>
              <w:t>Dietro al satiro, un’anfora pontuta a terra ed altro oggetto presso la testa del satiro.</w:t>
            </w:r>
          </w:p>
          <w:p w14:paraId="5B9624D5" w14:textId="77777777" w:rsidR="005A120C" w:rsidRPr="00BB55AD" w:rsidRDefault="000864B3">
            <w:pPr>
              <w:rPr>
                <w:rFonts w:ascii="Titillium Web" w:hAnsi="Titillium Web"/>
                <w:i/>
                <w:iCs/>
                <w:szCs w:val="24"/>
              </w:rPr>
            </w:pPr>
            <w:r w:rsidRPr="00BB55AD">
              <w:rPr>
                <w:rFonts w:ascii="Titillium Web" w:hAnsi="Titillium Web"/>
                <w:i/>
                <w:iCs/>
                <w:szCs w:val="24"/>
              </w:rPr>
              <w:t>Disegno trasandato a vern. nera cattiva che si sfalda. È intero.</w:t>
            </w:r>
          </w:p>
        </w:tc>
      </w:tr>
      <w:tr w:rsidR="0086297F" w:rsidRPr="00BB55AD" w14:paraId="1429C2F3" w14:textId="77777777" w:rsidTr="002665C6">
        <w:trPr>
          <w:jc w:val="center"/>
        </w:trPr>
        <w:tc>
          <w:tcPr>
            <w:tcW w:w="1650" w:type="pct"/>
            <w:vAlign w:val="center"/>
          </w:tcPr>
          <w:p w14:paraId="7F398080"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lastRenderedPageBreak/>
              <w:t>Posizione del corredo</w:t>
            </w:r>
          </w:p>
        </w:tc>
        <w:tc>
          <w:tcPr>
            <w:tcW w:w="3350" w:type="pct"/>
            <w:vAlign w:val="center"/>
          </w:tcPr>
          <w:p w14:paraId="5C03ADA7" w14:textId="6483574E" w:rsidR="0086297F" w:rsidRPr="00BB55AD" w:rsidRDefault="00DA69E6" w:rsidP="002665C6">
            <w:pPr>
              <w:jc w:val="center"/>
              <w:rPr>
                <w:rFonts w:ascii="Titillium Web" w:hAnsi="Titillium Web"/>
                <w:szCs w:val="24"/>
              </w:rPr>
            </w:pPr>
            <w:r w:rsidRPr="00DA69E6">
              <w:rPr>
                <w:rFonts w:ascii="Titillium Web" w:hAnsi="Titillium Web"/>
                <w:szCs w:val="24"/>
              </w:rPr>
              <w:t>In gruppo/i attorno ai resti</w:t>
            </w:r>
          </w:p>
        </w:tc>
      </w:tr>
      <w:tr w:rsidR="0086297F" w:rsidRPr="00BB55AD" w14:paraId="71A0E4AF" w14:textId="77777777" w:rsidTr="002665C6">
        <w:trPr>
          <w:jc w:val="center"/>
        </w:trPr>
        <w:tc>
          <w:tcPr>
            <w:tcW w:w="1650" w:type="pct"/>
            <w:vAlign w:val="center"/>
          </w:tcPr>
          <w:p w14:paraId="2128B19B"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Genere (legato all’analisi del corredo)</w:t>
            </w:r>
          </w:p>
        </w:tc>
        <w:tc>
          <w:tcPr>
            <w:tcW w:w="3350" w:type="pct"/>
            <w:vAlign w:val="center"/>
          </w:tcPr>
          <w:p w14:paraId="31324C2B" w14:textId="4E55E405" w:rsidR="0086297F" w:rsidRPr="00BB55AD" w:rsidRDefault="0086297F" w:rsidP="002665C6">
            <w:pPr>
              <w:jc w:val="center"/>
              <w:rPr>
                <w:rFonts w:ascii="Titillium Web" w:hAnsi="Titillium Web"/>
                <w:szCs w:val="24"/>
              </w:rPr>
            </w:pPr>
            <w:proofErr w:type="gramStart"/>
            <w:r w:rsidRPr="00BB55AD">
              <w:rPr>
                <w:rFonts w:ascii="Titillium Web" w:hAnsi="Titillium Web"/>
                <w:szCs w:val="24"/>
              </w:rPr>
              <w:t>Femminile ?</w:t>
            </w:r>
            <w:proofErr w:type="gramEnd"/>
          </w:p>
        </w:tc>
      </w:tr>
      <w:tr w:rsidR="0086297F" w:rsidRPr="00BB55AD" w14:paraId="17633947" w14:textId="77777777" w:rsidTr="002665C6">
        <w:trPr>
          <w:jc w:val="center"/>
        </w:trPr>
        <w:tc>
          <w:tcPr>
            <w:tcW w:w="1650" w:type="pct"/>
            <w:vAlign w:val="center"/>
          </w:tcPr>
          <w:p w14:paraId="44721053"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Sesso (legato alle analisi antropologiche)</w:t>
            </w:r>
          </w:p>
        </w:tc>
        <w:tc>
          <w:tcPr>
            <w:tcW w:w="3350" w:type="pct"/>
            <w:vAlign w:val="center"/>
          </w:tcPr>
          <w:p w14:paraId="66E918A4" w14:textId="50197FF0" w:rsidR="0086297F" w:rsidRPr="00BB55AD" w:rsidRDefault="0086297F" w:rsidP="002665C6">
            <w:pPr>
              <w:jc w:val="center"/>
              <w:rPr>
                <w:rFonts w:ascii="Titillium Web" w:hAnsi="Titillium Web"/>
                <w:szCs w:val="24"/>
              </w:rPr>
            </w:pPr>
            <w:r w:rsidRPr="00BB55AD">
              <w:rPr>
                <w:rFonts w:ascii="Titillium Web" w:hAnsi="Titillium Web"/>
                <w:szCs w:val="24"/>
              </w:rPr>
              <w:t>Non determinabile</w:t>
            </w:r>
          </w:p>
        </w:tc>
      </w:tr>
      <w:tr w:rsidR="0086297F" w:rsidRPr="00BB55AD" w14:paraId="0588946D" w14:textId="77777777" w:rsidTr="002665C6">
        <w:trPr>
          <w:jc w:val="center"/>
        </w:trPr>
        <w:tc>
          <w:tcPr>
            <w:tcW w:w="1650" w:type="pct"/>
            <w:vAlign w:val="center"/>
          </w:tcPr>
          <w:p w14:paraId="54990945"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Classi di età</w:t>
            </w:r>
          </w:p>
        </w:tc>
        <w:tc>
          <w:tcPr>
            <w:tcW w:w="3350" w:type="pct"/>
            <w:vAlign w:val="center"/>
          </w:tcPr>
          <w:p w14:paraId="0E0589EA" w14:textId="7D4DF825" w:rsidR="0086297F" w:rsidRPr="00BB55AD" w:rsidRDefault="0086297F" w:rsidP="002665C6">
            <w:pPr>
              <w:jc w:val="center"/>
              <w:rPr>
                <w:rFonts w:ascii="Titillium Web" w:hAnsi="Titillium Web"/>
                <w:szCs w:val="24"/>
              </w:rPr>
            </w:pPr>
            <w:r w:rsidRPr="00BB55AD">
              <w:rPr>
                <w:rFonts w:ascii="Titillium Web" w:hAnsi="Titillium Web"/>
                <w:szCs w:val="24"/>
              </w:rPr>
              <w:t>Adulto</w:t>
            </w:r>
          </w:p>
        </w:tc>
      </w:tr>
      <w:tr w:rsidR="0086297F" w:rsidRPr="00BB55AD" w14:paraId="1FFA88A1" w14:textId="77777777" w:rsidTr="002665C6">
        <w:trPr>
          <w:jc w:val="center"/>
        </w:trPr>
        <w:tc>
          <w:tcPr>
            <w:tcW w:w="1650" w:type="pct"/>
            <w:vAlign w:val="center"/>
          </w:tcPr>
          <w:p w14:paraId="63B2D8D6" w14:textId="77777777" w:rsidR="0086297F" w:rsidRPr="00BB55AD" w:rsidRDefault="0086297F" w:rsidP="002665C6">
            <w:pPr>
              <w:jc w:val="center"/>
              <w:rPr>
                <w:rFonts w:ascii="Titillium Web" w:hAnsi="Titillium Web"/>
                <w:smallCaps/>
                <w:szCs w:val="24"/>
              </w:rPr>
            </w:pPr>
            <w:r w:rsidRPr="00BB55AD">
              <w:rPr>
                <w:rFonts w:ascii="Titillium Web" w:hAnsi="Titillium Web"/>
                <w:smallCaps/>
                <w:szCs w:val="24"/>
              </w:rPr>
              <w:t>Bibliografia essenziale</w:t>
            </w:r>
          </w:p>
        </w:tc>
        <w:tc>
          <w:tcPr>
            <w:tcW w:w="3350" w:type="pct"/>
            <w:vAlign w:val="center"/>
          </w:tcPr>
          <w:p w14:paraId="2A0FE475" w14:textId="77777777" w:rsidR="005A120C" w:rsidRPr="00BB55AD" w:rsidRDefault="000864B3" w:rsidP="00BB55AD">
            <w:pPr>
              <w:jc w:val="center"/>
              <w:rPr>
                <w:rFonts w:ascii="Titillium Web" w:hAnsi="Titillium Web"/>
                <w:szCs w:val="24"/>
              </w:rPr>
            </w:pPr>
            <w:r w:rsidRPr="00BB55AD">
              <w:rPr>
                <w:rFonts w:ascii="Titillium Web" w:eastAsia="Titillium" w:hAnsi="Titillium Web" w:cs="Titillium"/>
                <w:smallCaps/>
                <w:szCs w:val="24"/>
              </w:rPr>
              <w:t>Timossi</w:t>
            </w:r>
            <w:r w:rsidRPr="00BB55AD">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82C5C"/>
    <w:rsid w:val="000D72F4"/>
    <w:rsid w:val="001C17CC"/>
    <w:rsid w:val="002977D7"/>
    <w:rsid w:val="00472AF4"/>
    <w:rsid w:val="00551AF8"/>
    <w:rsid w:val="005A120C"/>
    <w:rsid w:val="005B5AFF"/>
    <w:rsid w:val="006162A4"/>
    <w:rsid w:val="006346F7"/>
    <w:rsid w:val="00697A40"/>
    <w:rsid w:val="006D6EFB"/>
    <w:rsid w:val="007145BC"/>
    <w:rsid w:val="0086297F"/>
    <w:rsid w:val="009E4922"/>
    <w:rsid w:val="00AB321D"/>
    <w:rsid w:val="00B165C4"/>
    <w:rsid w:val="00BB55AD"/>
    <w:rsid w:val="00C21EE0"/>
    <w:rsid w:val="00D900AB"/>
    <w:rsid w:val="00D936E8"/>
    <w:rsid w:val="00DA69E6"/>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2026-05-15T10:01:00Z</dcterms:modified>
</cp:coreProperties>
</file>