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F7CD9" w14:textId="29CC0BD8" w:rsidR="0086297F" w:rsidRPr="00042C80" w:rsidRDefault="0086297F" w:rsidP="0086297F">
      <w:pPr>
        <w:jc w:val="center"/>
        <w:rPr>
          <w:rFonts w:ascii="Titillium Web" w:hAnsi="Titillium Web"/>
          <w:b/>
          <w:bCs/>
          <w:sz w:val="28"/>
          <w:szCs w:val="24"/>
        </w:rPr>
      </w:pPr>
      <w:r w:rsidRPr="00042C80">
        <w:rPr>
          <w:rFonts w:ascii="Titillium Web" w:hAnsi="Titillium Web"/>
          <w:b/>
          <w:bCs/>
          <w:sz w:val="28"/>
          <w:szCs w:val="24"/>
        </w:rPr>
        <w:t>Valle Trebba – Tomba 995</w:t>
      </w:r>
    </w:p>
    <w:tbl>
      <w:tblPr>
        <w:tblStyle w:val="Grigliatabella"/>
        <w:tblW w:w="5000" w:type="pct"/>
        <w:jc w:val="center"/>
        <w:tblLook w:val="04A0" w:firstRow="1" w:lastRow="0" w:firstColumn="1" w:lastColumn="0" w:noHBand="0" w:noVBand="1"/>
      </w:tblPr>
      <w:tblGrid>
        <w:gridCol w:w="2990"/>
        <w:gridCol w:w="6070"/>
      </w:tblGrid>
      <w:tr w:rsidR="0086297F" w:rsidRPr="00C92579" w14:paraId="69604347" w14:textId="77777777" w:rsidTr="002665C6">
        <w:trPr>
          <w:jc w:val="center"/>
        </w:trPr>
        <w:tc>
          <w:tcPr>
            <w:tcW w:w="1650" w:type="pct"/>
            <w:vAlign w:val="center"/>
          </w:tcPr>
          <w:p w14:paraId="59258D49" w14:textId="77777777" w:rsidR="0086297F" w:rsidRPr="00C92579" w:rsidRDefault="0086297F" w:rsidP="002665C6">
            <w:pPr>
              <w:jc w:val="center"/>
              <w:rPr>
                <w:rFonts w:ascii="Titillium Web" w:hAnsi="Titillium Web"/>
                <w:smallCaps/>
                <w:szCs w:val="24"/>
              </w:rPr>
            </w:pPr>
            <w:r w:rsidRPr="00C92579">
              <w:rPr>
                <w:rFonts w:ascii="Titillium Web" w:hAnsi="Titillium Web"/>
                <w:smallCaps/>
                <w:szCs w:val="24"/>
              </w:rPr>
              <w:t>Anno di rinvenimento</w:t>
            </w:r>
          </w:p>
        </w:tc>
        <w:tc>
          <w:tcPr>
            <w:tcW w:w="3350" w:type="pct"/>
            <w:vAlign w:val="center"/>
          </w:tcPr>
          <w:p w14:paraId="10AA1E7C" w14:textId="59BFE2EE" w:rsidR="0086297F" w:rsidRPr="00C92579" w:rsidRDefault="0086297F" w:rsidP="002665C6">
            <w:pPr>
              <w:jc w:val="center"/>
              <w:rPr>
                <w:rFonts w:ascii="Titillium Web" w:hAnsi="Titillium Web"/>
                <w:szCs w:val="24"/>
              </w:rPr>
            </w:pPr>
            <w:r w:rsidRPr="00C92579">
              <w:rPr>
                <w:rFonts w:ascii="Titillium Web" w:hAnsi="Titillium Web"/>
                <w:szCs w:val="24"/>
              </w:rPr>
              <w:t>1928</w:t>
            </w:r>
          </w:p>
        </w:tc>
      </w:tr>
      <w:tr w:rsidR="0086297F" w:rsidRPr="00C92579" w14:paraId="3B6B9C62" w14:textId="77777777" w:rsidTr="002665C6">
        <w:trPr>
          <w:jc w:val="center"/>
        </w:trPr>
        <w:tc>
          <w:tcPr>
            <w:tcW w:w="1650" w:type="pct"/>
            <w:vAlign w:val="center"/>
          </w:tcPr>
          <w:p w14:paraId="2D01D888" w14:textId="77777777" w:rsidR="0086297F" w:rsidRPr="00C92579" w:rsidRDefault="0086297F" w:rsidP="002665C6">
            <w:pPr>
              <w:jc w:val="center"/>
              <w:rPr>
                <w:rFonts w:ascii="Titillium Web" w:hAnsi="Titillium Web"/>
                <w:smallCaps/>
                <w:szCs w:val="24"/>
              </w:rPr>
            </w:pPr>
            <w:r w:rsidRPr="00C92579">
              <w:rPr>
                <w:rFonts w:ascii="Titillium Web" w:hAnsi="Titillium Web"/>
                <w:smallCaps/>
                <w:szCs w:val="24"/>
              </w:rPr>
              <w:t>Stato di conservazione della tomba</w:t>
            </w:r>
          </w:p>
        </w:tc>
        <w:tc>
          <w:tcPr>
            <w:tcW w:w="3350" w:type="pct"/>
            <w:vAlign w:val="center"/>
          </w:tcPr>
          <w:p w14:paraId="3ADC95CD" w14:textId="31719CCD" w:rsidR="0086297F" w:rsidRPr="00C92579" w:rsidRDefault="0086297F" w:rsidP="002665C6">
            <w:pPr>
              <w:jc w:val="center"/>
              <w:rPr>
                <w:rFonts w:ascii="Titillium Web" w:hAnsi="Titillium Web"/>
                <w:szCs w:val="24"/>
              </w:rPr>
            </w:pPr>
            <w:r w:rsidRPr="00C92579">
              <w:rPr>
                <w:rFonts w:ascii="Titillium Web" w:hAnsi="Titillium Web"/>
                <w:szCs w:val="24"/>
              </w:rPr>
              <w:t>Intatta</w:t>
            </w:r>
          </w:p>
        </w:tc>
      </w:tr>
      <w:tr w:rsidR="0086297F" w:rsidRPr="00C92579" w14:paraId="3D165E1E" w14:textId="77777777" w:rsidTr="002665C6">
        <w:trPr>
          <w:jc w:val="center"/>
        </w:trPr>
        <w:tc>
          <w:tcPr>
            <w:tcW w:w="1650" w:type="pct"/>
            <w:vAlign w:val="center"/>
          </w:tcPr>
          <w:p w14:paraId="2A5B3D4F" w14:textId="77777777" w:rsidR="0086297F" w:rsidRPr="00C92579" w:rsidRDefault="0086297F" w:rsidP="002665C6">
            <w:pPr>
              <w:jc w:val="center"/>
              <w:rPr>
                <w:rFonts w:ascii="Titillium Web" w:hAnsi="Titillium Web"/>
                <w:smallCaps/>
                <w:szCs w:val="24"/>
              </w:rPr>
            </w:pPr>
            <w:r w:rsidRPr="00C92579">
              <w:rPr>
                <w:rFonts w:ascii="Titillium Web" w:hAnsi="Titillium Web"/>
                <w:smallCaps/>
                <w:szCs w:val="24"/>
              </w:rPr>
              <w:t>Rito di seppellimento</w:t>
            </w:r>
          </w:p>
        </w:tc>
        <w:tc>
          <w:tcPr>
            <w:tcW w:w="3350" w:type="pct"/>
            <w:vAlign w:val="center"/>
          </w:tcPr>
          <w:p w14:paraId="094BD426" w14:textId="6E99443A" w:rsidR="0086297F" w:rsidRPr="00C92579" w:rsidRDefault="0086297F" w:rsidP="002665C6">
            <w:pPr>
              <w:jc w:val="center"/>
              <w:rPr>
                <w:rFonts w:ascii="Titillium Web" w:hAnsi="Titillium Web"/>
                <w:szCs w:val="24"/>
              </w:rPr>
            </w:pPr>
            <w:r w:rsidRPr="00C92579">
              <w:rPr>
                <w:rFonts w:ascii="Titillium Web" w:hAnsi="Titillium Web"/>
                <w:szCs w:val="24"/>
              </w:rPr>
              <w:t>Inumazione</w:t>
            </w:r>
          </w:p>
        </w:tc>
      </w:tr>
      <w:tr w:rsidR="0086297F" w:rsidRPr="00C92579" w14:paraId="44CADBCB" w14:textId="77777777" w:rsidTr="002665C6">
        <w:trPr>
          <w:jc w:val="center"/>
        </w:trPr>
        <w:tc>
          <w:tcPr>
            <w:tcW w:w="1650" w:type="pct"/>
            <w:vAlign w:val="center"/>
          </w:tcPr>
          <w:p w14:paraId="1E25741A" w14:textId="77777777" w:rsidR="0086297F" w:rsidRPr="00C92579" w:rsidRDefault="0086297F" w:rsidP="002665C6">
            <w:pPr>
              <w:jc w:val="center"/>
              <w:rPr>
                <w:rFonts w:ascii="Titillium Web" w:hAnsi="Titillium Web"/>
                <w:smallCaps/>
                <w:szCs w:val="24"/>
              </w:rPr>
            </w:pPr>
            <w:r w:rsidRPr="00C92579">
              <w:rPr>
                <w:rFonts w:ascii="Titillium Web" w:hAnsi="Titillium Web"/>
                <w:smallCaps/>
                <w:szCs w:val="24"/>
              </w:rPr>
              <w:t>Struttura tomba</w:t>
            </w:r>
          </w:p>
        </w:tc>
        <w:tc>
          <w:tcPr>
            <w:tcW w:w="3350" w:type="pct"/>
            <w:vAlign w:val="center"/>
          </w:tcPr>
          <w:p w14:paraId="1DE3BCB3" w14:textId="08DB6A85" w:rsidR="0086297F" w:rsidRPr="00C92579" w:rsidRDefault="0086297F" w:rsidP="002665C6">
            <w:pPr>
              <w:jc w:val="center"/>
              <w:rPr>
                <w:rFonts w:ascii="Titillium Web" w:hAnsi="Titillium Web"/>
                <w:szCs w:val="24"/>
              </w:rPr>
            </w:pPr>
            <w:r w:rsidRPr="00C92579">
              <w:rPr>
                <w:rFonts w:ascii="Titillium Web" w:hAnsi="Titillium Web"/>
                <w:szCs w:val="24"/>
              </w:rPr>
              <w:t>fossa semplice, forma non registrata</w:t>
            </w:r>
          </w:p>
        </w:tc>
      </w:tr>
      <w:tr w:rsidR="0086297F" w:rsidRPr="00C92579" w14:paraId="47E1F943" w14:textId="77777777" w:rsidTr="002665C6">
        <w:trPr>
          <w:jc w:val="center"/>
        </w:trPr>
        <w:tc>
          <w:tcPr>
            <w:tcW w:w="1650" w:type="pct"/>
            <w:vAlign w:val="center"/>
          </w:tcPr>
          <w:p w14:paraId="355EE080" w14:textId="77777777" w:rsidR="0086297F" w:rsidRPr="00C92579" w:rsidRDefault="0086297F" w:rsidP="002665C6">
            <w:pPr>
              <w:jc w:val="center"/>
              <w:rPr>
                <w:rFonts w:ascii="Titillium Web" w:hAnsi="Titillium Web"/>
                <w:smallCaps/>
                <w:szCs w:val="24"/>
              </w:rPr>
            </w:pPr>
            <w:r w:rsidRPr="00C92579">
              <w:rPr>
                <w:rFonts w:ascii="Titillium Web" w:hAnsi="Titillium Web"/>
                <w:smallCaps/>
                <w:szCs w:val="24"/>
              </w:rPr>
              <w:t xml:space="preserve">Profondità dal piano di campagna </w:t>
            </w:r>
          </w:p>
        </w:tc>
        <w:tc>
          <w:tcPr>
            <w:tcW w:w="3350" w:type="pct"/>
            <w:vAlign w:val="center"/>
          </w:tcPr>
          <w:p w14:paraId="13D75B9B" w14:textId="6492371F" w:rsidR="0086297F" w:rsidRPr="00C92579" w:rsidRDefault="0086297F" w:rsidP="002665C6">
            <w:pPr>
              <w:jc w:val="center"/>
              <w:rPr>
                <w:rFonts w:ascii="Titillium Web" w:hAnsi="Titillium Web"/>
                <w:szCs w:val="24"/>
              </w:rPr>
            </w:pPr>
            <w:r w:rsidRPr="00C92579">
              <w:rPr>
                <w:rFonts w:ascii="Titillium Web" w:hAnsi="Titillium Web"/>
                <w:szCs w:val="24"/>
              </w:rPr>
              <w:t>1 m</w:t>
            </w:r>
          </w:p>
        </w:tc>
      </w:tr>
      <w:tr w:rsidR="0086297F" w:rsidRPr="00C92579" w14:paraId="75BC79FE" w14:textId="77777777" w:rsidTr="002665C6">
        <w:trPr>
          <w:jc w:val="center"/>
        </w:trPr>
        <w:tc>
          <w:tcPr>
            <w:tcW w:w="1650" w:type="pct"/>
            <w:vAlign w:val="center"/>
          </w:tcPr>
          <w:p w14:paraId="432462C5" w14:textId="77777777" w:rsidR="0086297F" w:rsidRPr="00C92579" w:rsidRDefault="0086297F" w:rsidP="002665C6">
            <w:pPr>
              <w:jc w:val="center"/>
              <w:rPr>
                <w:rFonts w:ascii="Titillium Web" w:hAnsi="Titillium Web"/>
                <w:smallCaps/>
                <w:szCs w:val="24"/>
              </w:rPr>
            </w:pPr>
            <w:r w:rsidRPr="00C92579">
              <w:rPr>
                <w:rFonts w:ascii="Titillium Web" w:hAnsi="Titillium Web"/>
                <w:smallCaps/>
                <w:szCs w:val="24"/>
              </w:rPr>
              <w:t>Dimensioni della sepoltura</w:t>
            </w:r>
          </w:p>
        </w:tc>
        <w:tc>
          <w:tcPr>
            <w:tcW w:w="3350" w:type="pct"/>
            <w:vAlign w:val="center"/>
          </w:tcPr>
          <w:p w14:paraId="65EDFAD4" w14:textId="5859930D" w:rsidR="0086297F" w:rsidRPr="00C92579" w:rsidRDefault="0086297F" w:rsidP="002665C6">
            <w:pPr>
              <w:jc w:val="center"/>
              <w:rPr>
                <w:rFonts w:ascii="Titillium Web" w:hAnsi="Titillium Web"/>
                <w:szCs w:val="24"/>
              </w:rPr>
            </w:pPr>
            <w:r w:rsidRPr="00C92579">
              <w:rPr>
                <w:rFonts w:ascii="Titillium Web" w:hAnsi="Titillium Web"/>
                <w:szCs w:val="24"/>
              </w:rPr>
              <w:t>Dimensioni non registrate</w:t>
            </w:r>
          </w:p>
        </w:tc>
      </w:tr>
      <w:tr w:rsidR="0086297F" w:rsidRPr="00C92579" w14:paraId="35E5C09E" w14:textId="77777777" w:rsidTr="002665C6">
        <w:trPr>
          <w:jc w:val="center"/>
        </w:trPr>
        <w:tc>
          <w:tcPr>
            <w:tcW w:w="1650" w:type="pct"/>
            <w:vAlign w:val="center"/>
          </w:tcPr>
          <w:p w14:paraId="5AA10374" w14:textId="77777777" w:rsidR="0086297F" w:rsidRPr="00C92579" w:rsidRDefault="0086297F" w:rsidP="002665C6">
            <w:pPr>
              <w:jc w:val="center"/>
              <w:rPr>
                <w:rFonts w:ascii="Titillium Web" w:hAnsi="Titillium Web"/>
                <w:smallCaps/>
                <w:szCs w:val="24"/>
              </w:rPr>
            </w:pPr>
            <w:r w:rsidRPr="00C92579">
              <w:rPr>
                <w:rFonts w:ascii="Titillium Web" w:hAnsi="Titillium Web"/>
                <w:smallCaps/>
                <w:szCs w:val="24"/>
              </w:rPr>
              <w:t>Orientamento dello scheletro</w:t>
            </w:r>
          </w:p>
        </w:tc>
        <w:tc>
          <w:tcPr>
            <w:tcW w:w="3350" w:type="pct"/>
            <w:vAlign w:val="center"/>
          </w:tcPr>
          <w:p w14:paraId="6E0E4E7B" w14:textId="7F6B3E0C" w:rsidR="0086297F" w:rsidRPr="00C92579" w:rsidRDefault="0086297F" w:rsidP="002665C6">
            <w:pPr>
              <w:jc w:val="center"/>
              <w:rPr>
                <w:rFonts w:ascii="Titillium Web" w:hAnsi="Titillium Web"/>
                <w:szCs w:val="24"/>
              </w:rPr>
            </w:pPr>
            <w:r w:rsidRPr="00C92579">
              <w:rPr>
                <w:rFonts w:ascii="Titillium Web" w:hAnsi="Titillium Web"/>
                <w:szCs w:val="24"/>
              </w:rPr>
              <w:t>NW-SE</w:t>
            </w:r>
          </w:p>
        </w:tc>
      </w:tr>
      <w:tr w:rsidR="0086297F" w:rsidRPr="00C92579" w14:paraId="71236441" w14:textId="77777777" w:rsidTr="002665C6">
        <w:trPr>
          <w:jc w:val="center"/>
        </w:trPr>
        <w:tc>
          <w:tcPr>
            <w:tcW w:w="1650" w:type="pct"/>
            <w:vAlign w:val="center"/>
          </w:tcPr>
          <w:p w14:paraId="4A1B31A8" w14:textId="77777777" w:rsidR="0086297F" w:rsidRPr="00C92579" w:rsidRDefault="0086297F" w:rsidP="002665C6">
            <w:pPr>
              <w:jc w:val="center"/>
              <w:rPr>
                <w:rFonts w:ascii="Titillium Web" w:hAnsi="Titillium Web"/>
                <w:smallCaps/>
                <w:szCs w:val="24"/>
              </w:rPr>
            </w:pPr>
            <w:r w:rsidRPr="00C92579">
              <w:rPr>
                <w:rFonts w:ascii="Titillium Web" w:hAnsi="Titillium Web"/>
                <w:smallCaps/>
                <w:szCs w:val="24"/>
              </w:rPr>
              <w:t>Segnacolo</w:t>
            </w:r>
          </w:p>
        </w:tc>
        <w:tc>
          <w:tcPr>
            <w:tcW w:w="3350" w:type="pct"/>
            <w:vAlign w:val="center"/>
          </w:tcPr>
          <w:p w14:paraId="104CE615" w14:textId="50385AE1" w:rsidR="0086297F" w:rsidRPr="00C92579" w:rsidRDefault="0086297F" w:rsidP="002665C6">
            <w:pPr>
              <w:jc w:val="center"/>
              <w:rPr>
                <w:rFonts w:ascii="Titillium Web" w:hAnsi="Titillium Web"/>
                <w:szCs w:val="24"/>
              </w:rPr>
            </w:pPr>
            <w:r w:rsidRPr="00C92579">
              <w:rPr>
                <w:rFonts w:ascii="Titillium Web" w:hAnsi="Titillium Web"/>
                <w:szCs w:val="24"/>
              </w:rPr>
              <w:t>Ciottolo fluviale</w:t>
            </w:r>
          </w:p>
        </w:tc>
      </w:tr>
      <w:tr w:rsidR="0086297F" w:rsidRPr="00C92579" w14:paraId="6D6CBA71" w14:textId="77777777" w:rsidTr="002665C6">
        <w:trPr>
          <w:jc w:val="center"/>
        </w:trPr>
        <w:tc>
          <w:tcPr>
            <w:tcW w:w="1650" w:type="pct"/>
            <w:vAlign w:val="center"/>
          </w:tcPr>
          <w:p w14:paraId="75CA0D64" w14:textId="77777777" w:rsidR="0086297F" w:rsidRPr="00C92579" w:rsidRDefault="0086297F" w:rsidP="002665C6">
            <w:pPr>
              <w:jc w:val="center"/>
              <w:rPr>
                <w:rFonts w:ascii="Titillium Web" w:hAnsi="Titillium Web"/>
                <w:smallCaps/>
                <w:szCs w:val="24"/>
              </w:rPr>
            </w:pPr>
            <w:r w:rsidRPr="00C92579">
              <w:rPr>
                <w:rFonts w:ascii="Titillium Web" w:hAnsi="Titillium Web"/>
                <w:smallCaps/>
                <w:szCs w:val="24"/>
              </w:rPr>
              <w:t>Giornale di scavo</w:t>
            </w:r>
          </w:p>
        </w:tc>
        <w:tc>
          <w:tcPr>
            <w:tcW w:w="3350" w:type="pct"/>
            <w:vAlign w:val="center"/>
          </w:tcPr>
          <w:p w14:paraId="740E7B4C" w14:textId="77777777" w:rsidR="005C3AC9" w:rsidRPr="00C92579" w:rsidRDefault="009B4569">
            <w:pPr>
              <w:rPr>
                <w:rFonts w:ascii="Titillium Web" w:hAnsi="Titillium Web"/>
                <w:i/>
                <w:iCs/>
                <w:szCs w:val="24"/>
              </w:rPr>
            </w:pPr>
            <w:r w:rsidRPr="00C92579">
              <w:rPr>
                <w:rFonts w:ascii="Titillium Web" w:hAnsi="Titillium Web"/>
                <w:i/>
                <w:iCs/>
                <w:szCs w:val="24"/>
              </w:rPr>
              <w:t xml:space="preserve">Nel mezzo circa della fetta di levante, del Campo 52, a m 90 circa dal B, e a m 300 circa dal D.B., si eleva un piccolo dosso di sabbia nel mezzo del quale, ieri sera per caso, nell’affondare un palo per delle misurazioni, si riscontrò la bocca di un’anfora </w:t>
            </w:r>
            <w:proofErr w:type="spellStart"/>
            <w:r w:rsidRPr="00C92579">
              <w:rPr>
                <w:rFonts w:ascii="Titillium Web" w:hAnsi="Titillium Web"/>
                <w:i/>
                <w:iCs/>
                <w:szCs w:val="24"/>
              </w:rPr>
              <w:t>pontuta</w:t>
            </w:r>
            <w:proofErr w:type="spellEnd"/>
            <w:r w:rsidRPr="00C92579">
              <w:rPr>
                <w:rFonts w:ascii="Titillium Web" w:hAnsi="Titillium Web"/>
                <w:i/>
                <w:iCs/>
                <w:szCs w:val="24"/>
              </w:rPr>
              <w:t>. Stamane si è eseguito lo scavo e si rinvennero due tombe a umazione che qui descrivo.</w:t>
            </w:r>
          </w:p>
          <w:p w14:paraId="6A9CFE5B" w14:textId="77777777" w:rsidR="005C3AC9" w:rsidRPr="00C92579" w:rsidRDefault="005C3AC9">
            <w:pPr>
              <w:rPr>
                <w:rFonts w:ascii="Titillium Web" w:hAnsi="Titillium Web"/>
                <w:i/>
                <w:iCs/>
                <w:szCs w:val="24"/>
              </w:rPr>
            </w:pPr>
          </w:p>
          <w:p w14:paraId="23D6CAB1" w14:textId="77777777" w:rsidR="005C3AC9" w:rsidRPr="00C92579" w:rsidRDefault="009B4569">
            <w:pPr>
              <w:rPr>
                <w:rFonts w:ascii="Titillium Web" w:hAnsi="Titillium Web"/>
                <w:i/>
                <w:iCs/>
                <w:szCs w:val="24"/>
              </w:rPr>
            </w:pPr>
            <w:r w:rsidRPr="00C92579">
              <w:rPr>
                <w:rFonts w:ascii="Titillium Web" w:hAnsi="Titillium Web"/>
                <w:i/>
                <w:iCs/>
                <w:szCs w:val="24"/>
              </w:rPr>
              <w:t>Tomba 995 a umazione</w:t>
            </w:r>
          </w:p>
          <w:p w14:paraId="022AB5C8" w14:textId="77777777" w:rsidR="005C3AC9" w:rsidRPr="00C92579" w:rsidRDefault="005C3AC9">
            <w:pPr>
              <w:rPr>
                <w:rFonts w:ascii="Titillium Web" w:hAnsi="Titillium Web"/>
                <w:i/>
                <w:iCs/>
                <w:szCs w:val="24"/>
              </w:rPr>
            </w:pPr>
          </w:p>
          <w:p w14:paraId="3B8C6617" w14:textId="77777777" w:rsidR="005C3AC9" w:rsidRPr="00C92579" w:rsidRDefault="009B4569">
            <w:pPr>
              <w:rPr>
                <w:rFonts w:ascii="Titillium Web" w:hAnsi="Titillium Web"/>
                <w:i/>
                <w:iCs/>
                <w:szCs w:val="24"/>
              </w:rPr>
            </w:pPr>
            <w:r w:rsidRPr="00C92579">
              <w:rPr>
                <w:rFonts w:ascii="Titillium Web" w:hAnsi="Titillium Web"/>
                <w:i/>
                <w:iCs/>
                <w:szCs w:val="24"/>
              </w:rPr>
              <w:t>A m 3 circa dal cranio della tomba precedente (un poco più diagonalmente e a sud ovest) s’incontra il cranio di un altro scheletro.</w:t>
            </w:r>
          </w:p>
          <w:p w14:paraId="14354F2F" w14:textId="77777777" w:rsidR="005C3AC9" w:rsidRPr="00C92579" w:rsidRDefault="009B4569">
            <w:pPr>
              <w:rPr>
                <w:rFonts w:ascii="Titillium Web" w:hAnsi="Titillium Web"/>
                <w:i/>
                <w:iCs/>
                <w:szCs w:val="24"/>
              </w:rPr>
            </w:pPr>
            <w:r w:rsidRPr="00C92579">
              <w:rPr>
                <w:rFonts w:ascii="Titillium Web" w:hAnsi="Titillium Web"/>
                <w:i/>
                <w:iCs/>
                <w:szCs w:val="24"/>
              </w:rPr>
              <w:t>Il cranio appartiene ad un fanciullo perché è di pareti sottilissime e i dentini piccolini e le falangette dei ditini dimostrano trattarsi di un fanciullo di 10 o 12 anni.</w:t>
            </w:r>
          </w:p>
          <w:p w14:paraId="5C2B8BD9" w14:textId="77777777" w:rsidR="005C3AC9" w:rsidRPr="00C92579" w:rsidRDefault="009B4569">
            <w:pPr>
              <w:rPr>
                <w:rFonts w:ascii="Titillium Web" w:hAnsi="Titillium Web"/>
                <w:i/>
                <w:iCs/>
                <w:szCs w:val="24"/>
              </w:rPr>
            </w:pPr>
            <w:r w:rsidRPr="00C92579">
              <w:rPr>
                <w:rFonts w:ascii="Titillium Web" w:hAnsi="Titillium Web"/>
                <w:i/>
                <w:iCs/>
                <w:szCs w:val="24"/>
              </w:rPr>
              <w:t>Anche questo scheletro è orientato da nord ovest a sud est, ma un po’ più volto a nord gradi 340.</w:t>
            </w:r>
          </w:p>
          <w:p w14:paraId="0DA0F281" w14:textId="77777777" w:rsidR="005C3AC9" w:rsidRPr="00C92579" w:rsidRDefault="009B4569">
            <w:pPr>
              <w:rPr>
                <w:rFonts w:ascii="Titillium Web" w:hAnsi="Titillium Web"/>
                <w:i/>
                <w:iCs/>
                <w:szCs w:val="24"/>
              </w:rPr>
            </w:pPr>
            <w:r w:rsidRPr="00C92579">
              <w:rPr>
                <w:rFonts w:ascii="Titillium Web" w:hAnsi="Titillium Web"/>
                <w:i/>
                <w:iCs/>
                <w:szCs w:val="24"/>
              </w:rPr>
              <w:t>Dietro la testa dello scheletro era piantata dritta:</w:t>
            </w:r>
          </w:p>
          <w:p w14:paraId="7283FD33" w14:textId="77777777" w:rsidR="005C3AC9" w:rsidRPr="00C92579" w:rsidRDefault="009B4569">
            <w:pPr>
              <w:rPr>
                <w:rFonts w:ascii="Titillium Web" w:hAnsi="Titillium Web"/>
                <w:i/>
                <w:iCs/>
                <w:szCs w:val="24"/>
              </w:rPr>
            </w:pPr>
            <w:r w:rsidRPr="00C92579">
              <w:rPr>
                <w:rFonts w:ascii="Titillium Web" w:hAnsi="Titillium Web"/>
                <w:i/>
                <w:iCs/>
                <w:szCs w:val="24"/>
              </w:rPr>
              <w:t xml:space="preserve">1 anfora </w:t>
            </w:r>
            <w:proofErr w:type="spellStart"/>
            <w:r w:rsidRPr="00C92579">
              <w:rPr>
                <w:rFonts w:ascii="Titillium Web" w:hAnsi="Titillium Web"/>
                <w:i/>
                <w:iCs/>
                <w:szCs w:val="24"/>
              </w:rPr>
              <w:t>pontuta</w:t>
            </w:r>
            <w:proofErr w:type="spellEnd"/>
            <w:r w:rsidRPr="00C92579">
              <w:rPr>
                <w:rFonts w:ascii="Titillium Web" w:hAnsi="Titillium Web"/>
                <w:i/>
                <w:iCs/>
                <w:szCs w:val="24"/>
              </w:rPr>
              <w:t>, grezza, di buon cotto, intera. L’anfora è di media grandezza.</w:t>
            </w:r>
          </w:p>
          <w:p w14:paraId="4C959286" w14:textId="77777777" w:rsidR="005C3AC9" w:rsidRPr="00C92579" w:rsidRDefault="009B4569">
            <w:pPr>
              <w:rPr>
                <w:rFonts w:ascii="Titillium Web" w:hAnsi="Titillium Web"/>
                <w:i/>
                <w:iCs/>
                <w:szCs w:val="24"/>
              </w:rPr>
            </w:pPr>
            <w:r w:rsidRPr="00C92579">
              <w:rPr>
                <w:rFonts w:ascii="Titillium Web" w:hAnsi="Titillium Web"/>
                <w:i/>
                <w:iCs/>
                <w:szCs w:val="24"/>
              </w:rPr>
              <w:t>A destra del cranio</w:t>
            </w:r>
          </w:p>
          <w:p w14:paraId="21230868" w14:textId="77777777" w:rsidR="005C3AC9" w:rsidRPr="00C92579" w:rsidRDefault="009B4569">
            <w:pPr>
              <w:rPr>
                <w:rFonts w:ascii="Titillium Web" w:hAnsi="Titillium Web"/>
                <w:i/>
                <w:iCs/>
                <w:szCs w:val="24"/>
              </w:rPr>
            </w:pPr>
            <w:r w:rsidRPr="00C92579">
              <w:rPr>
                <w:rFonts w:ascii="Titillium Web" w:hAnsi="Titillium Web"/>
                <w:i/>
                <w:iCs/>
                <w:szCs w:val="24"/>
              </w:rPr>
              <w:t xml:space="preserve">1 oinochoe di forma ovoidale, slanciato, a </w:t>
            </w:r>
            <w:proofErr w:type="spellStart"/>
            <w:r w:rsidRPr="00C92579">
              <w:rPr>
                <w:rFonts w:ascii="Titillium Web" w:hAnsi="Titillium Web"/>
                <w:i/>
                <w:iCs/>
                <w:szCs w:val="24"/>
              </w:rPr>
              <w:t>vern</w:t>
            </w:r>
            <w:proofErr w:type="spellEnd"/>
            <w:r w:rsidRPr="00C92579">
              <w:rPr>
                <w:rFonts w:ascii="Titillium Web" w:hAnsi="Titillium Web"/>
                <w:i/>
                <w:iCs/>
                <w:szCs w:val="24"/>
              </w:rPr>
              <w:t>. nera con bocca trilobata e ansa alta e verticale.</w:t>
            </w:r>
          </w:p>
          <w:p w14:paraId="58063C92" w14:textId="77777777" w:rsidR="005C3AC9" w:rsidRPr="00C92579" w:rsidRDefault="009B4569">
            <w:pPr>
              <w:rPr>
                <w:rFonts w:ascii="Titillium Web" w:hAnsi="Titillium Web"/>
                <w:i/>
                <w:iCs/>
                <w:szCs w:val="24"/>
              </w:rPr>
            </w:pPr>
            <w:r w:rsidRPr="00C92579">
              <w:rPr>
                <w:rFonts w:ascii="Titillium Web" w:hAnsi="Titillium Web"/>
                <w:i/>
                <w:iCs/>
                <w:szCs w:val="24"/>
              </w:rPr>
              <w:t xml:space="preserve">Nell’attacco, della parte inferiore dell’ansa, sulla spalla del vaso, una testina umana in rilievo e nella strozzatura della </w:t>
            </w:r>
            <w:r w:rsidRPr="00C92579">
              <w:rPr>
                <w:rFonts w:ascii="Titillium Web" w:hAnsi="Titillium Web"/>
                <w:i/>
                <w:iCs/>
                <w:szCs w:val="24"/>
              </w:rPr>
              <w:lastRenderedPageBreak/>
              <w:t>bocca, fra i due lobi laterali, due fiorellini in rilievo. I lobi della bocca sono stretti e lunghi e l’oinochoe benché di lavoro commerciale e affrettato ha una linea elegante e svelta da distinguerlo subito dai soliti tipi tozzi e pesanti. È intero, meno l’ansa che è rotta in due pezzi ma restaurabile perfettamente.</w:t>
            </w:r>
          </w:p>
          <w:p w14:paraId="024E8F20" w14:textId="77777777" w:rsidR="005C3AC9" w:rsidRPr="00C92579" w:rsidRDefault="009B4569">
            <w:pPr>
              <w:rPr>
                <w:rFonts w:ascii="Titillium Web" w:hAnsi="Titillium Web"/>
                <w:i/>
                <w:iCs/>
                <w:szCs w:val="24"/>
              </w:rPr>
            </w:pPr>
            <w:r w:rsidRPr="00C92579">
              <w:rPr>
                <w:rFonts w:ascii="Titillium Web" w:hAnsi="Titillium Web"/>
                <w:i/>
                <w:iCs/>
                <w:szCs w:val="24"/>
              </w:rPr>
              <w:t xml:space="preserve">1 </w:t>
            </w:r>
            <w:proofErr w:type="spellStart"/>
            <w:r w:rsidRPr="00C92579">
              <w:rPr>
                <w:rFonts w:ascii="Titillium Web" w:hAnsi="Titillium Web"/>
                <w:i/>
                <w:iCs/>
                <w:szCs w:val="24"/>
              </w:rPr>
              <w:t>lekane</w:t>
            </w:r>
            <w:proofErr w:type="spellEnd"/>
            <w:r w:rsidRPr="00C92579">
              <w:rPr>
                <w:rFonts w:ascii="Titillium Web" w:hAnsi="Titillium Web"/>
                <w:i/>
                <w:iCs/>
                <w:szCs w:val="24"/>
              </w:rPr>
              <w:t xml:space="preserve"> di fattura comune, con palmette stilizzate a colpi di pennello (sul coperchio) e di fattura scadente. Il coperchio è frammentato (una sola rottura), la tazza è intera</w:t>
            </w:r>
          </w:p>
          <w:p w14:paraId="1AD56930" w14:textId="77777777" w:rsidR="005C3AC9" w:rsidRPr="00C92579" w:rsidRDefault="009B4569">
            <w:pPr>
              <w:rPr>
                <w:rFonts w:ascii="Titillium Web" w:hAnsi="Titillium Web"/>
                <w:i/>
                <w:iCs/>
                <w:szCs w:val="24"/>
              </w:rPr>
            </w:pPr>
            <w:r w:rsidRPr="00C92579">
              <w:rPr>
                <w:rFonts w:ascii="Titillium Web" w:hAnsi="Titillium Web"/>
                <w:i/>
                <w:iCs/>
                <w:szCs w:val="24"/>
              </w:rPr>
              <w:t xml:space="preserve">1 guttus o boccalino otriforme, con bocca verticale e beccuccio orizzontale, a </w:t>
            </w:r>
            <w:proofErr w:type="spellStart"/>
            <w:r w:rsidRPr="00C92579">
              <w:rPr>
                <w:rFonts w:ascii="Titillium Web" w:hAnsi="Titillium Web"/>
                <w:i/>
                <w:iCs/>
                <w:szCs w:val="24"/>
              </w:rPr>
              <w:t>vern</w:t>
            </w:r>
            <w:proofErr w:type="spellEnd"/>
            <w:r w:rsidRPr="00C92579">
              <w:rPr>
                <w:rFonts w:ascii="Titillium Web" w:hAnsi="Titillium Web"/>
                <w:i/>
                <w:iCs/>
                <w:szCs w:val="24"/>
              </w:rPr>
              <w:t>. n. scadente e di fattura tozza: è intero</w:t>
            </w:r>
          </w:p>
          <w:p w14:paraId="08311083" w14:textId="77777777" w:rsidR="005C3AC9" w:rsidRPr="00C92579" w:rsidRDefault="009B4569">
            <w:pPr>
              <w:rPr>
                <w:rFonts w:ascii="Titillium Web" w:hAnsi="Titillium Web"/>
                <w:i/>
                <w:iCs/>
                <w:szCs w:val="24"/>
              </w:rPr>
            </w:pPr>
            <w:r w:rsidRPr="00C92579">
              <w:rPr>
                <w:rFonts w:ascii="Titillium Web" w:hAnsi="Titillium Web"/>
                <w:i/>
                <w:iCs/>
                <w:szCs w:val="24"/>
              </w:rPr>
              <w:t xml:space="preserve">1 piccolo </w:t>
            </w:r>
            <w:proofErr w:type="spellStart"/>
            <w:r w:rsidRPr="00C92579">
              <w:rPr>
                <w:rFonts w:ascii="Titillium Web" w:hAnsi="Titillium Web"/>
                <w:i/>
                <w:iCs/>
                <w:szCs w:val="24"/>
              </w:rPr>
              <w:t>kotylos</w:t>
            </w:r>
            <w:proofErr w:type="spellEnd"/>
            <w:r w:rsidRPr="00C92579">
              <w:rPr>
                <w:rFonts w:ascii="Titillium Web" w:hAnsi="Titillium Web"/>
                <w:i/>
                <w:iCs/>
                <w:szCs w:val="24"/>
              </w:rPr>
              <w:t xml:space="preserve"> emisferico, a </w:t>
            </w:r>
            <w:proofErr w:type="spellStart"/>
            <w:r w:rsidRPr="00C92579">
              <w:rPr>
                <w:rFonts w:ascii="Titillium Web" w:hAnsi="Titillium Web"/>
                <w:i/>
                <w:iCs/>
                <w:szCs w:val="24"/>
              </w:rPr>
              <w:t>vern</w:t>
            </w:r>
            <w:proofErr w:type="spellEnd"/>
            <w:r w:rsidRPr="00C92579">
              <w:rPr>
                <w:rFonts w:ascii="Titillium Web" w:hAnsi="Titillium Web"/>
                <w:i/>
                <w:iCs/>
                <w:szCs w:val="24"/>
              </w:rPr>
              <w:t>. n. scadente è intero</w:t>
            </w:r>
          </w:p>
          <w:p w14:paraId="5D53334D" w14:textId="77777777" w:rsidR="005C3AC9" w:rsidRPr="00C92579" w:rsidRDefault="009B4569">
            <w:pPr>
              <w:rPr>
                <w:rFonts w:ascii="Titillium Web" w:hAnsi="Titillium Web"/>
                <w:i/>
                <w:iCs/>
                <w:szCs w:val="24"/>
              </w:rPr>
            </w:pPr>
            <w:r w:rsidRPr="00C92579">
              <w:rPr>
                <w:rFonts w:ascii="Titillium Web" w:hAnsi="Titillium Web"/>
                <w:i/>
                <w:iCs/>
                <w:szCs w:val="24"/>
              </w:rPr>
              <w:t xml:space="preserve">1 tazzina emisferica, con peduccio, con anse come una kylix, a </w:t>
            </w:r>
            <w:proofErr w:type="spellStart"/>
            <w:r w:rsidRPr="00C92579">
              <w:rPr>
                <w:rFonts w:ascii="Titillium Web" w:hAnsi="Titillium Web"/>
                <w:i/>
                <w:iCs/>
                <w:szCs w:val="24"/>
              </w:rPr>
              <w:t>vern</w:t>
            </w:r>
            <w:proofErr w:type="spellEnd"/>
            <w:r w:rsidRPr="00C92579">
              <w:rPr>
                <w:rFonts w:ascii="Titillium Web" w:hAnsi="Titillium Web"/>
                <w:i/>
                <w:iCs/>
                <w:szCs w:val="24"/>
              </w:rPr>
              <w:t>. n. scadente</w:t>
            </w:r>
          </w:p>
          <w:p w14:paraId="5BE3F646" w14:textId="77777777" w:rsidR="005C3AC9" w:rsidRPr="00C92579" w:rsidRDefault="009B4569">
            <w:pPr>
              <w:rPr>
                <w:rFonts w:ascii="Titillium Web" w:hAnsi="Titillium Web"/>
                <w:i/>
                <w:iCs/>
                <w:szCs w:val="24"/>
              </w:rPr>
            </w:pPr>
            <w:r w:rsidRPr="00C92579">
              <w:rPr>
                <w:rFonts w:ascii="Titillium Web" w:hAnsi="Titillium Web"/>
                <w:i/>
                <w:iCs/>
                <w:szCs w:val="24"/>
              </w:rPr>
              <w:t>È in minuti frammenti perché di spessore sottile.</w:t>
            </w:r>
          </w:p>
          <w:p w14:paraId="536BCB72" w14:textId="77777777" w:rsidR="005C3AC9" w:rsidRPr="00C92579" w:rsidRDefault="009B4569">
            <w:pPr>
              <w:rPr>
                <w:rFonts w:ascii="Titillium Web" w:hAnsi="Titillium Web"/>
                <w:i/>
                <w:iCs/>
                <w:szCs w:val="24"/>
              </w:rPr>
            </w:pPr>
            <w:proofErr w:type="gramStart"/>
            <w:r w:rsidRPr="00C92579">
              <w:rPr>
                <w:rFonts w:ascii="Titillium Web" w:hAnsi="Titillium Web"/>
                <w:i/>
                <w:iCs/>
                <w:szCs w:val="24"/>
              </w:rPr>
              <w:t>2</w:t>
            </w:r>
            <w:proofErr w:type="gramEnd"/>
            <w:r w:rsidRPr="00C92579">
              <w:rPr>
                <w:rFonts w:ascii="Titillium Web" w:hAnsi="Titillium Web"/>
                <w:i/>
                <w:iCs/>
                <w:szCs w:val="24"/>
              </w:rPr>
              <w:t xml:space="preserve"> tazzette apode, a </w:t>
            </w:r>
            <w:proofErr w:type="spellStart"/>
            <w:r w:rsidRPr="00C92579">
              <w:rPr>
                <w:rFonts w:ascii="Titillium Web" w:hAnsi="Titillium Web"/>
                <w:i/>
                <w:iCs/>
                <w:szCs w:val="24"/>
              </w:rPr>
              <w:t>vern</w:t>
            </w:r>
            <w:proofErr w:type="spellEnd"/>
            <w:r w:rsidRPr="00C92579">
              <w:rPr>
                <w:rFonts w:ascii="Titillium Web" w:hAnsi="Titillium Web"/>
                <w:i/>
                <w:iCs/>
                <w:szCs w:val="24"/>
              </w:rPr>
              <w:t xml:space="preserve">. n. scadente, </w:t>
            </w:r>
            <w:proofErr w:type="spellStart"/>
            <w:r w:rsidRPr="00C92579">
              <w:rPr>
                <w:rFonts w:ascii="Titillium Web" w:hAnsi="Titillium Web"/>
                <w:i/>
                <w:iCs/>
                <w:szCs w:val="24"/>
              </w:rPr>
              <w:t>liscie</w:t>
            </w:r>
            <w:proofErr w:type="spellEnd"/>
            <w:r w:rsidRPr="00C92579">
              <w:rPr>
                <w:rFonts w:ascii="Titillium Web" w:hAnsi="Titillium Web"/>
                <w:i/>
                <w:iCs/>
                <w:szCs w:val="24"/>
              </w:rPr>
              <w:t>. Una è in frammenti.</w:t>
            </w:r>
          </w:p>
          <w:p w14:paraId="6968C375" w14:textId="77777777" w:rsidR="005C3AC9" w:rsidRPr="00C92579" w:rsidRDefault="009B4569">
            <w:pPr>
              <w:rPr>
                <w:rFonts w:ascii="Titillium Web" w:hAnsi="Titillium Web"/>
                <w:i/>
                <w:iCs/>
                <w:szCs w:val="24"/>
              </w:rPr>
            </w:pPr>
            <w:proofErr w:type="gramStart"/>
            <w:r w:rsidRPr="00C92579">
              <w:rPr>
                <w:rFonts w:ascii="Titillium Web" w:hAnsi="Titillium Web"/>
                <w:i/>
                <w:iCs/>
                <w:szCs w:val="24"/>
              </w:rPr>
              <w:t>5</w:t>
            </w:r>
            <w:proofErr w:type="gramEnd"/>
            <w:r w:rsidRPr="00C92579">
              <w:rPr>
                <w:rFonts w:ascii="Titillium Web" w:hAnsi="Titillium Web"/>
                <w:i/>
                <w:iCs/>
                <w:szCs w:val="24"/>
              </w:rPr>
              <w:t xml:space="preserve"> piccoli piattelli comuni, a </w:t>
            </w:r>
            <w:proofErr w:type="spellStart"/>
            <w:r w:rsidRPr="00C92579">
              <w:rPr>
                <w:rFonts w:ascii="Titillium Web" w:hAnsi="Titillium Web"/>
                <w:i/>
                <w:iCs/>
                <w:szCs w:val="24"/>
              </w:rPr>
              <w:t>vern</w:t>
            </w:r>
            <w:proofErr w:type="spellEnd"/>
            <w:r w:rsidRPr="00C92579">
              <w:rPr>
                <w:rFonts w:ascii="Titillium Web" w:hAnsi="Titillium Web"/>
                <w:i/>
                <w:iCs/>
                <w:szCs w:val="24"/>
              </w:rPr>
              <w:t>. n. scadente.</w:t>
            </w:r>
          </w:p>
          <w:p w14:paraId="731F40AF" w14:textId="77777777" w:rsidR="005C3AC9" w:rsidRPr="00C92579" w:rsidRDefault="009B4569">
            <w:pPr>
              <w:rPr>
                <w:rFonts w:ascii="Titillium Web" w:hAnsi="Titillium Web"/>
                <w:i/>
                <w:iCs/>
                <w:szCs w:val="24"/>
              </w:rPr>
            </w:pPr>
            <w:r w:rsidRPr="00C92579">
              <w:rPr>
                <w:rFonts w:ascii="Titillium Web" w:hAnsi="Titillium Web"/>
                <w:i/>
                <w:iCs/>
                <w:szCs w:val="24"/>
              </w:rPr>
              <w:t xml:space="preserve">Presso la mano </w:t>
            </w:r>
            <w:proofErr w:type="spellStart"/>
            <w:r w:rsidRPr="00C92579">
              <w:rPr>
                <w:rFonts w:ascii="Titillium Web" w:hAnsi="Titillium Web"/>
                <w:i/>
                <w:iCs/>
                <w:szCs w:val="24"/>
              </w:rPr>
              <w:t>sin</w:t>
            </w:r>
            <w:proofErr w:type="spellEnd"/>
            <w:r w:rsidRPr="00C92579">
              <w:rPr>
                <w:rFonts w:ascii="Titillium Web" w:hAnsi="Titillium Web"/>
                <w:i/>
                <w:iCs/>
                <w:szCs w:val="24"/>
              </w:rPr>
              <w:t>. dello scheletro:</w:t>
            </w:r>
          </w:p>
          <w:p w14:paraId="110169F8" w14:textId="77777777" w:rsidR="005C3AC9" w:rsidRPr="00C92579" w:rsidRDefault="009B4569">
            <w:pPr>
              <w:rPr>
                <w:rFonts w:ascii="Titillium Web" w:hAnsi="Titillium Web"/>
                <w:i/>
                <w:iCs/>
                <w:szCs w:val="24"/>
              </w:rPr>
            </w:pPr>
            <w:r w:rsidRPr="00C92579">
              <w:rPr>
                <w:rFonts w:ascii="Titillium Web" w:hAnsi="Titillium Web"/>
                <w:i/>
                <w:iCs/>
                <w:szCs w:val="24"/>
              </w:rPr>
              <w:t xml:space="preserve">1 piccolo oinochoe a forma di fiaschetta panciuta con collo lungo e sottile e beccuccio a cartoccio. È a </w:t>
            </w:r>
            <w:proofErr w:type="spellStart"/>
            <w:r w:rsidRPr="00C92579">
              <w:rPr>
                <w:rFonts w:ascii="Titillium Web" w:hAnsi="Titillium Web"/>
                <w:i/>
                <w:iCs/>
                <w:szCs w:val="24"/>
              </w:rPr>
              <w:t>vern</w:t>
            </w:r>
            <w:proofErr w:type="spellEnd"/>
            <w:r w:rsidRPr="00C92579">
              <w:rPr>
                <w:rFonts w:ascii="Titillium Web" w:hAnsi="Titillium Web"/>
                <w:i/>
                <w:iCs/>
                <w:szCs w:val="24"/>
              </w:rPr>
              <w:t xml:space="preserve">. n. scadente, manca dell’ansa che non si rinvenne ed è tutto </w:t>
            </w:r>
            <w:proofErr w:type="spellStart"/>
            <w:r w:rsidRPr="00C92579">
              <w:rPr>
                <w:rFonts w:ascii="Titillium Web" w:hAnsi="Titillium Web"/>
                <w:i/>
                <w:iCs/>
                <w:szCs w:val="24"/>
              </w:rPr>
              <w:t>crinato</w:t>
            </w:r>
            <w:proofErr w:type="spellEnd"/>
            <w:r w:rsidRPr="00C92579">
              <w:rPr>
                <w:rFonts w:ascii="Titillium Web" w:hAnsi="Titillium Web"/>
                <w:i/>
                <w:iCs/>
                <w:szCs w:val="24"/>
              </w:rPr>
              <w:t xml:space="preserve"> in causa della sabbia di cui è pieno e che l’ha spaccato.</w:t>
            </w:r>
          </w:p>
          <w:p w14:paraId="7E4B1440" w14:textId="77777777" w:rsidR="005C3AC9" w:rsidRPr="00C92579" w:rsidRDefault="009B4569">
            <w:pPr>
              <w:rPr>
                <w:rFonts w:ascii="Titillium Web" w:hAnsi="Titillium Web"/>
                <w:i/>
                <w:iCs/>
                <w:szCs w:val="24"/>
              </w:rPr>
            </w:pPr>
            <w:r w:rsidRPr="00C92579">
              <w:rPr>
                <w:rFonts w:ascii="Titillium Web" w:hAnsi="Titillium Web"/>
                <w:i/>
                <w:iCs/>
                <w:szCs w:val="24"/>
              </w:rPr>
              <w:t xml:space="preserve">Presso l’oinochoe e la mano </w:t>
            </w:r>
            <w:proofErr w:type="spellStart"/>
            <w:r w:rsidRPr="00C92579">
              <w:rPr>
                <w:rFonts w:ascii="Titillium Web" w:hAnsi="Titillium Web"/>
                <w:i/>
                <w:iCs/>
                <w:szCs w:val="24"/>
              </w:rPr>
              <w:t>sin</w:t>
            </w:r>
            <w:proofErr w:type="spellEnd"/>
            <w:r w:rsidRPr="00C92579">
              <w:rPr>
                <w:rFonts w:ascii="Titillium Web" w:hAnsi="Titillium Web"/>
                <w:i/>
                <w:iCs/>
                <w:szCs w:val="24"/>
              </w:rPr>
              <w:t>.</w:t>
            </w:r>
          </w:p>
          <w:p w14:paraId="2154CE31" w14:textId="77777777" w:rsidR="005C3AC9" w:rsidRPr="00C92579" w:rsidRDefault="009B4569">
            <w:pPr>
              <w:rPr>
                <w:rFonts w:ascii="Titillium Web" w:hAnsi="Titillium Web"/>
                <w:i/>
                <w:iCs/>
                <w:szCs w:val="24"/>
              </w:rPr>
            </w:pPr>
            <w:r w:rsidRPr="00C92579">
              <w:rPr>
                <w:rFonts w:ascii="Titillium Web" w:hAnsi="Titillium Web"/>
                <w:i/>
                <w:iCs/>
                <w:szCs w:val="24"/>
              </w:rPr>
              <w:t>1 mucchietto di conchiglie comuni e di astragali di bue, uno dei quali levigato.</w:t>
            </w:r>
          </w:p>
          <w:p w14:paraId="4D76F9DA" w14:textId="77777777" w:rsidR="005C3AC9" w:rsidRPr="00C92579" w:rsidRDefault="009B4569">
            <w:pPr>
              <w:rPr>
                <w:rFonts w:ascii="Titillium Web" w:hAnsi="Titillium Web"/>
                <w:i/>
                <w:iCs/>
                <w:szCs w:val="24"/>
              </w:rPr>
            </w:pPr>
            <w:r w:rsidRPr="00C92579">
              <w:rPr>
                <w:rFonts w:ascii="Titillium Web" w:hAnsi="Titillium Web"/>
                <w:i/>
                <w:iCs/>
                <w:szCs w:val="24"/>
              </w:rPr>
              <w:t>Profondità alla quale poggia la tomba, m 1,00.</w:t>
            </w:r>
          </w:p>
          <w:p w14:paraId="685C080B" w14:textId="77777777" w:rsidR="005C3AC9" w:rsidRPr="00C92579" w:rsidRDefault="009B4569">
            <w:pPr>
              <w:rPr>
                <w:rFonts w:ascii="Titillium Web" w:hAnsi="Titillium Web"/>
                <w:i/>
                <w:iCs/>
                <w:szCs w:val="24"/>
              </w:rPr>
            </w:pPr>
            <w:r w:rsidRPr="00C92579">
              <w:rPr>
                <w:rFonts w:ascii="Titillium Web" w:hAnsi="Titillium Web"/>
                <w:i/>
                <w:iCs/>
                <w:szCs w:val="24"/>
              </w:rPr>
              <w:t>Sopra la tomba, a m 0,54 dal piano di campagna era un piccolo ciottolo fluviale.</w:t>
            </w:r>
          </w:p>
        </w:tc>
      </w:tr>
      <w:tr w:rsidR="0086297F" w:rsidRPr="00C92579" w14:paraId="1429C2F3" w14:textId="77777777" w:rsidTr="002665C6">
        <w:trPr>
          <w:jc w:val="center"/>
        </w:trPr>
        <w:tc>
          <w:tcPr>
            <w:tcW w:w="1650" w:type="pct"/>
            <w:vAlign w:val="center"/>
          </w:tcPr>
          <w:p w14:paraId="7F398080" w14:textId="77777777" w:rsidR="0086297F" w:rsidRPr="00C92579" w:rsidRDefault="0086297F" w:rsidP="002665C6">
            <w:pPr>
              <w:jc w:val="center"/>
              <w:rPr>
                <w:rFonts w:ascii="Titillium Web" w:hAnsi="Titillium Web"/>
                <w:smallCaps/>
                <w:szCs w:val="24"/>
              </w:rPr>
            </w:pPr>
            <w:r w:rsidRPr="00C92579">
              <w:rPr>
                <w:rFonts w:ascii="Titillium Web" w:hAnsi="Titillium Web"/>
                <w:smallCaps/>
                <w:szCs w:val="24"/>
              </w:rPr>
              <w:lastRenderedPageBreak/>
              <w:t>Posizione del corredo</w:t>
            </w:r>
          </w:p>
        </w:tc>
        <w:tc>
          <w:tcPr>
            <w:tcW w:w="3350" w:type="pct"/>
            <w:vAlign w:val="center"/>
          </w:tcPr>
          <w:p w14:paraId="5C03ADA7" w14:textId="76BEC8A7" w:rsidR="0086297F" w:rsidRPr="00C92579" w:rsidRDefault="00DA399C" w:rsidP="002665C6">
            <w:pPr>
              <w:jc w:val="center"/>
              <w:rPr>
                <w:rFonts w:ascii="Titillium Web" w:hAnsi="Titillium Web"/>
                <w:szCs w:val="24"/>
              </w:rPr>
            </w:pPr>
            <w:r w:rsidRPr="00DA399C">
              <w:rPr>
                <w:rFonts w:ascii="Titillium Web" w:hAnsi="Titillium Web"/>
                <w:szCs w:val="24"/>
              </w:rPr>
              <w:t>In gruppo/i attorno ai resti</w:t>
            </w:r>
          </w:p>
        </w:tc>
      </w:tr>
      <w:tr w:rsidR="0086297F" w:rsidRPr="00C92579" w14:paraId="71A0E4AF" w14:textId="77777777" w:rsidTr="002665C6">
        <w:trPr>
          <w:jc w:val="center"/>
        </w:trPr>
        <w:tc>
          <w:tcPr>
            <w:tcW w:w="1650" w:type="pct"/>
            <w:vAlign w:val="center"/>
          </w:tcPr>
          <w:p w14:paraId="2128B19B" w14:textId="77777777" w:rsidR="0086297F" w:rsidRPr="00C92579" w:rsidRDefault="0086297F" w:rsidP="002665C6">
            <w:pPr>
              <w:jc w:val="center"/>
              <w:rPr>
                <w:rFonts w:ascii="Titillium Web" w:hAnsi="Titillium Web"/>
                <w:smallCaps/>
                <w:szCs w:val="24"/>
              </w:rPr>
            </w:pPr>
            <w:r w:rsidRPr="00C92579">
              <w:rPr>
                <w:rFonts w:ascii="Titillium Web" w:hAnsi="Titillium Web"/>
                <w:smallCaps/>
                <w:szCs w:val="24"/>
              </w:rPr>
              <w:t>Genere (legato all’analisi del corredo)</w:t>
            </w:r>
          </w:p>
        </w:tc>
        <w:tc>
          <w:tcPr>
            <w:tcW w:w="3350" w:type="pct"/>
            <w:vAlign w:val="center"/>
          </w:tcPr>
          <w:p w14:paraId="31324C2B" w14:textId="4E55E405" w:rsidR="0086297F" w:rsidRPr="00C92579" w:rsidRDefault="0086297F" w:rsidP="002665C6">
            <w:pPr>
              <w:jc w:val="center"/>
              <w:rPr>
                <w:rFonts w:ascii="Titillium Web" w:hAnsi="Titillium Web"/>
                <w:szCs w:val="24"/>
              </w:rPr>
            </w:pPr>
            <w:proofErr w:type="gramStart"/>
            <w:r w:rsidRPr="00C92579">
              <w:rPr>
                <w:rFonts w:ascii="Titillium Web" w:hAnsi="Titillium Web"/>
                <w:szCs w:val="24"/>
              </w:rPr>
              <w:t>Femminile ?</w:t>
            </w:r>
            <w:proofErr w:type="gramEnd"/>
          </w:p>
        </w:tc>
      </w:tr>
      <w:tr w:rsidR="0086297F" w:rsidRPr="00C92579" w14:paraId="17633947" w14:textId="77777777" w:rsidTr="002665C6">
        <w:trPr>
          <w:jc w:val="center"/>
        </w:trPr>
        <w:tc>
          <w:tcPr>
            <w:tcW w:w="1650" w:type="pct"/>
            <w:vAlign w:val="center"/>
          </w:tcPr>
          <w:p w14:paraId="44721053" w14:textId="77777777" w:rsidR="0086297F" w:rsidRPr="00C92579" w:rsidRDefault="0086297F" w:rsidP="002665C6">
            <w:pPr>
              <w:jc w:val="center"/>
              <w:rPr>
                <w:rFonts w:ascii="Titillium Web" w:hAnsi="Titillium Web"/>
                <w:smallCaps/>
                <w:szCs w:val="24"/>
              </w:rPr>
            </w:pPr>
            <w:r w:rsidRPr="00C92579">
              <w:rPr>
                <w:rFonts w:ascii="Titillium Web" w:hAnsi="Titillium Web"/>
                <w:smallCaps/>
                <w:szCs w:val="24"/>
              </w:rPr>
              <w:t>Sesso (legato alle analisi antropologiche)</w:t>
            </w:r>
          </w:p>
        </w:tc>
        <w:tc>
          <w:tcPr>
            <w:tcW w:w="3350" w:type="pct"/>
            <w:vAlign w:val="center"/>
          </w:tcPr>
          <w:p w14:paraId="66E918A4" w14:textId="50197FF0" w:rsidR="0086297F" w:rsidRPr="00C92579" w:rsidRDefault="0086297F" w:rsidP="002665C6">
            <w:pPr>
              <w:jc w:val="center"/>
              <w:rPr>
                <w:rFonts w:ascii="Titillium Web" w:hAnsi="Titillium Web"/>
                <w:szCs w:val="24"/>
              </w:rPr>
            </w:pPr>
            <w:r w:rsidRPr="00C92579">
              <w:rPr>
                <w:rFonts w:ascii="Titillium Web" w:hAnsi="Titillium Web"/>
                <w:szCs w:val="24"/>
              </w:rPr>
              <w:t>Non determinabile</w:t>
            </w:r>
          </w:p>
        </w:tc>
      </w:tr>
      <w:tr w:rsidR="0086297F" w:rsidRPr="00C92579" w14:paraId="0588946D" w14:textId="77777777" w:rsidTr="002665C6">
        <w:trPr>
          <w:jc w:val="center"/>
        </w:trPr>
        <w:tc>
          <w:tcPr>
            <w:tcW w:w="1650" w:type="pct"/>
            <w:vAlign w:val="center"/>
          </w:tcPr>
          <w:p w14:paraId="54990945" w14:textId="77777777" w:rsidR="0086297F" w:rsidRPr="00C92579" w:rsidRDefault="0086297F" w:rsidP="002665C6">
            <w:pPr>
              <w:jc w:val="center"/>
              <w:rPr>
                <w:rFonts w:ascii="Titillium Web" w:hAnsi="Titillium Web"/>
                <w:smallCaps/>
                <w:szCs w:val="24"/>
              </w:rPr>
            </w:pPr>
            <w:r w:rsidRPr="00C92579">
              <w:rPr>
                <w:rFonts w:ascii="Titillium Web" w:hAnsi="Titillium Web"/>
                <w:smallCaps/>
                <w:szCs w:val="24"/>
              </w:rPr>
              <w:t>Classi di età</w:t>
            </w:r>
          </w:p>
        </w:tc>
        <w:tc>
          <w:tcPr>
            <w:tcW w:w="3350" w:type="pct"/>
            <w:vAlign w:val="center"/>
          </w:tcPr>
          <w:p w14:paraId="0E0589EA" w14:textId="7D4DF825" w:rsidR="0086297F" w:rsidRPr="00C92579" w:rsidRDefault="0086297F" w:rsidP="002665C6">
            <w:pPr>
              <w:jc w:val="center"/>
              <w:rPr>
                <w:rFonts w:ascii="Titillium Web" w:hAnsi="Titillium Web"/>
                <w:szCs w:val="24"/>
              </w:rPr>
            </w:pPr>
            <w:r w:rsidRPr="00C92579">
              <w:rPr>
                <w:rFonts w:ascii="Titillium Web" w:hAnsi="Titillium Web"/>
                <w:szCs w:val="24"/>
              </w:rPr>
              <w:t>Subadulto</w:t>
            </w:r>
          </w:p>
        </w:tc>
      </w:tr>
      <w:tr w:rsidR="0086297F" w:rsidRPr="00C92579" w14:paraId="1FFA88A1" w14:textId="77777777" w:rsidTr="002665C6">
        <w:trPr>
          <w:jc w:val="center"/>
        </w:trPr>
        <w:tc>
          <w:tcPr>
            <w:tcW w:w="1650" w:type="pct"/>
            <w:vAlign w:val="center"/>
          </w:tcPr>
          <w:p w14:paraId="63B2D8D6" w14:textId="77777777" w:rsidR="0086297F" w:rsidRPr="00C92579" w:rsidRDefault="0086297F" w:rsidP="002665C6">
            <w:pPr>
              <w:jc w:val="center"/>
              <w:rPr>
                <w:rFonts w:ascii="Titillium Web" w:hAnsi="Titillium Web"/>
                <w:smallCaps/>
                <w:szCs w:val="24"/>
              </w:rPr>
            </w:pPr>
            <w:r w:rsidRPr="00C92579">
              <w:rPr>
                <w:rFonts w:ascii="Titillium Web" w:hAnsi="Titillium Web"/>
                <w:smallCaps/>
                <w:szCs w:val="24"/>
              </w:rPr>
              <w:t>Bibliografia essenziale</w:t>
            </w:r>
          </w:p>
        </w:tc>
        <w:tc>
          <w:tcPr>
            <w:tcW w:w="3350" w:type="pct"/>
            <w:vAlign w:val="center"/>
          </w:tcPr>
          <w:p w14:paraId="2DAD84C2" w14:textId="537572D1" w:rsidR="005C3AC9" w:rsidRPr="00C92579" w:rsidRDefault="00C92579" w:rsidP="00C92579">
            <w:pPr>
              <w:jc w:val="center"/>
              <w:rPr>
                <w:rFonts w:ascii="Titillium Web" w:hAnsi="Titillium Web"/>
                <w:szCs w:val="24"/>
              </w:rPr>
            </w:pPr>
            <w:r w:rsidRPr="00C92579">
              <w:rPr>
                <w:rFonts w:ascii="Titillium Web" w:eastAsia="Titillium" w:hAnsi="Titillium Web" w:cs="Titillium"/>
                <w:smallCaps/>
                <w:szCs w:val="24"/>
              </w:rPr>
              <w:t>Berti</w:t>
            </w:r>
            <w:r w:rsidRPr="00C92579">
              <w:rPr>
                <w:rFonts w:ascii="Titillium Web" w:eastAsia="Titillium" w:hAnsi="Titillium Web" w:cs="Titillium"/>
                <w:szCs w:val="24"/>
              </w:rPr>
              <w:t xml:space="preserve"> 1993, p. 44; </w:t>
            </w:r>
            <w:r w:rsidRPr="00C92579">
              <w:rPr>
                <w:rFonts w:ascii="Titillium Web" w:eastAsia="Titillium" w:hAnsi="Titillium Web" w:cs="Titillium"/>
                <w:smallCaps/>
                <w:szCs w:val="24"/>
              </w:rPr>
              <w:t>Timossi</w:t>
            </w:r>
            <w:r w:rsidRPr="00C92579">
              <w:rPr>
                <w:rFonts w:ascii="Titillium Web" w:eastAsia="Titillium" w:hAnsi="Titillium Web" w:cs="Titillium"/>
                <w:szCs w:val="24"/>
              </w:rPr>
              <w:t xml:space="preserve"> 2019; </w:t>
            </w:r>
            <w:r w:rsidRPr="00C92579">
              <w:rPr>
                <w:rFonts w:ascii="Titillium Web" w:eastAsia="Titillium" w:hAnsi="Titillium Web" w:cs="Titillium"/>
                <w:smallCaps/>
                <w:szCs w:val="24"/>
              </w:rPr>
              <w:t>Serra</w:t>
            </w:r>
            <w:r w:rsidRPr="00C92579">
              <w:rPr>
                <w:rFonts w:ascii="Titillium Web" w:eastAsia="Titillium" w:hAnsi="Titillium Web" w:cs="Titillium"/>
                <w:szCs w:val="24"/>
              </w:rPr>
              <w:t xml:space="preserve"> 2025, p. 243</w:t>
            </w:r>
          </w:p>
        </w:tc>
      </w:tr>
    </w:tbl>
    <w:p w14:paraId="13D523A5" w14:textId="77777777" w:rsidR="00472AF4" w:rsidRPr="00042C80" w:rsidRDefault="00472AF4" w:rsidP="0086297F">
      <w:pPr>
        <w:rPr>
          <w:rFonts w:ascii="Titillium Web" w:hAnsi="Titillium Web"/>
        </w:rPr>
      </w:pPr>
    </w:p>
    <w:sectPr w:rsidR="00472AF4" w:rsidRPr="00042C80" w:rsidSect="005B5AFF">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tillium Web">
    <w:panose1 w:val="00000500000000000000"/>
    <w:charset w:val="00"/>
    <w:family w:val="auto"/>
    <w:pitch w:val="variable"/>
    <w:sig w:usb0="00000007" w:usb1="00000001" w:usb2="00000000" w:usb3="00000000" w:csb0="00000093" w:csb1="00000000"/>
  </w:font>
  <w:font w:name="Titillium">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AF8"/>
    <w:rsid w:val="00042C80"/>
    <w:rsid w:val="000D72F4"/>
    <w:rsid w:val="001C17CC"/>
    <w:rsid w:val="002977D7"/>
    <w:rsid w:val="00472AF4"/>
    <w:rsid w:val="00551AF8"/>
    <w:rsid w:val="005B5AFF"/>
    <w:rsid w:val="005C3AC9"/>
    <w:rsid w:val="006162A4"/>
    <w:rsid w:val="006346F7"/>
    <w:rsid w:val="00641BAF"/>
    <w:rsid w:val="006D6EFB"/>
    <w:rsid w:val="007145BC"/>
    <w:rsid w:val="0086297F"/>
    <w:rsid w:val="0090262E"/>
    <w:rsid w:val="009E4922"/>
    <w:rsid w:val="00AB321D"/>
    <w:rsid w:val="00B165C4"/>
    <w:rsid w:val="00C21EE0"/>
    <w:rsid w:val="00C92579"/>
    <w:rsid w:val="00D900AB"/>
    <w:rsid w:val="00D936E8"/>
    <w:rsid w:val="00DA399C"/>
    <w:rsid w:val="00E2463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896DF"/>
  <w15:chartTrackingRefBased/>
  <w15:docId w15:val="{EFE63D76-3A16-4E4D-89D8-9FB43B65C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it-IT" w:eastAsia="en-US" w:bidi="ar-SA"/>
        <w14:ligatures w14:val="standardContextual"/>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6297F"/>
  </w:style>
  <w:style w:type="paragraph" w:styleId="Titolo1">
    <w:name w:val="heading 1"/>
    <w:basedOn w:val="Normale"/>
    <w:next w:val="Normale"/>
    <w:link w:val="Titolo1Carattere"/>
    <w:uiPriority w:val="9"/>
    <w:qFormat/>
    <w:rsid w:val="00551A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551A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551AF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551AF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551AF8"/>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551AF8"/>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551AF8"/>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551AF8"/>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551AF8"/>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51AF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551AF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551AF8"/>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551AF8"/>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551AF8"/>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551AF8"/>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551AF8"/>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551AF8"/>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551AF8"/>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551AF8"/>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51AF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51AF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51AF8"/>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51AF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51AF8"/>
    <w:rPr>
      <w:i/>
      <w:iCs/>
      <w:color w:val="404040" w:themeColor="text1" w:themeTint="BF"/>
    </w:rPr>
  </w:style>
  <w:style w:type="paragraph" w:styleId="Paragrafoelenco">
    <w:name w:val="List Paragraph"/>
    <w:basedOn w:val="Normale"/>
    <w:uiPriority w:val="34"/>
    <w:qFormat/>
    <w:rsid w:val="00551AF8"/>
    <w:pPr>
      <w:ind w:left="720"/>
      <w:contextualSpacing/>
    </w:pPr>
  </w:style>
  <w:style w:type="character" w:styleId="Enfasiintensa">
    <w:name w:val="Intense Emphasis"/>
    <w:basedOn w:val="Carpredefinitoparagrafo"/>
    <w:uiPriority w:val="21"/>
    <w:qFormat/>
    <w:rsid w:val="00551AF8"/>
    <w:rPr>
      <w:i/>
      <w:iCs/>
      <w:color w:val="0F4761" w:themeColor="accent1" w:themeShade="BF"/>
    </w:rPr>
  </w:style>
  <w:style w:type="paragraph" w:styleId="Citazioneintensa">
    <w:name w:val="Intense Quote"/>
    <w:basedOn w:val="Normale"/>
    <w:next w:val="Normale"/>
    <w:link w:val="CitazioneintensaCarattere"/>
    <w:uiPriority w:val="30"/>
    <w:qFormat/>
    <w:rsid w:val="00551A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551AF8"/>
    <w:rPr>
      <w:i/>
      <w:iCs/>
      <w:color w:val="0F4761" w:themeColor="accent1" w:themeShade="BF"/>
    </w:rPr>
  </w:style>
  <w:style w:type="character" w:styleId="Riferimentointenso">
    <w:name w:val="Intense Reference"/>
    <w:basedOn w:val="Carpredefinitoparagrafo"/>
    <w:uiPriority w:val="32"/>
    <w:qFormat/>
    <w:rsid w:val="00551AF8"/>
    <w:rPr>
      <w:b/>
      <w:bCs/>
      <w:smallCaps/>
      <w:color w:val="0F4761" w:themeColor="accent1" w:themeShade="BF"/>
      <w:spacing w:val="5"/>
    </w:rPr>
  </w:style>
  <w:style w:type="table" w:styleId="Grigliatabella">
    <w:name w:val="Table Grid"/>
    <w:basedOn w:val="Tabellanormale"/>
    <w:uiPriority w:val="39"/>
    <w:rsid w:val="0086297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482</Words>
  <Characters>2748</Characters>
  <Application>Microsoft Office Word</Application>
  <DocSecurity>0</DocSecurity>
  <Lines>22</Lines>
  <Paragraphs>6</Paragraphs>
  <ScaleCrop>false</ScaleCrop>
  <Company/>
  <LinksUpToDate>false</LinksUpToDate>
  <CharactersWithSpaces>3224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martina castoldi</dc:creator>
  <cp:keywords/>
  <dc:description/>
  <cp:lastModifiedBy>martina castoldi</cp:lastModifiedBy>
  <cp:revision>8</cp:revision>
  <dcterms:created xsi:type="dcterms:W3CDTF">2026-04-30T12:42:00Z</dcterms:created>
  <dcterms:modified xsi:type="dcterms:W3CDTF">2026-05-15T10:01:00Z</dcterms:modified>
</cp:coreProperties>
</file>