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B71" w:rsidRPr="00F2111D" w:rsidRDefault="00EC1B71" w:rsidP="00EC1B71">
      <w:pPr>
        <w:pStyle w:val="Titre4"/>
        <w:jc w:val="center"/>
        <w:rPr>
          <w:rFonts w:ascii="Arial" w:hAnsi="Arial" w:cs="Arial"/>
          <w:i w:val="0"/>
          <w:noProof/>
          <w:color w:val="auto"/>
          <w:sz w:val="28"/>
          <w:szCs w:val="28"/>
        </w:rPr>
      </w:pPr>
      <w:r>
        <w:rPr>
          <w:rFonts w:ascii="Arial" w:hAnsi="Arial" w:cs="Arial"/>
          <w:i w:val="0"/>
          <w:noProof/>
          <w:color w:val="auto"/>
          <w:sz w:val="28"/>
          <w:szCs w:val="28"/>
        </w:rPr>
        <w:t>Méthodes standard de valorisation des préjudices, types de coûts à considérer</w:t>
      </w:r>
    </w:p>
    <w:p w:rsidR="00EC1B71" w:rsidRDefault="00EC1B71" w:rsidP="00EC1B71">
      <w:pPr>
        <w:spacing w:after="0" w:line="240" w:lineRule="auto"/>
        <w:jc w:val="both"/>
        <w:rPr>
          <w:rFonts w:cs="Arial"/>
        </w:rPr>
      </w:pPr>
    </w:p>
    <w:p w:rsidR="00EC1B71" w:rsidRDefault="00EC1B71" w:rsidP="00EC1B71">
      <w:pPr>
        <w:spacing w:line="240" w:lineRule="auto"/>
        <w:jc w:val="both"/>
        <w:rPr>
          <w:rFonts w:cs="Arial"/>
        </w:rPr>
      </w:pPr>
      <w:r>
        <w:rPr>
          <w:rFonts w:cs="Arial"/>
        </w:rPr>
        <w:t>Pour procéder à la valorisation d’un surcoût ou préjudice, les méthodes les plus utilisées sont les suivantes :</w:t>
      </w:r>
    </w:p>
    <w:tbl>
      <w:tblPr>
        <w:tblStyle w:val="Grilledutableau"/>
        <w:tblW w:w="0" w:type="auto"/>
        <w:jc w:val="center"/>
        <w:tblLook w:val="04A0" w:firstRow="1" w:lastRow="0" w:firstColumn="1" w:lastColumn="0" w:noHBand="0" w:noVBand="1"/>
      </w:tblPr>
      <w:tblGrid>
        <w:gridCol w:w="602"/>
        <w:gridCol w:w="8460"/>
      </w:tblGrid>
      <w:tr w:rsidR="00EC1B71" w:rsidRPr="005C7ED5" w:rsidTr="00B95ECF">
        <w:trPr>
          <w:trHeight w:val="510"/>
          <w:jc w:val="center"/>
        </w:trPr>
        <w:tc>
          <w:tcPr>
            <w:tcW w:w="9146" w:type="dxa"/>
            <w:gridSpan w:val="2"/>
            <w:shd w:val="clear" w:color="auto" w:fill="44546A" w:themeFill="text2"/>
            <w:vAlign w:val="center"/>
          </w:tcPr>
          <w:p w:rsidR="00EC1B71" w:rsidRDefault="00EC1B71" w:rsidP="00B95ECF">
            <w:pPr>
              <w:pStyle w:val="Paragraphedeliste"/>
              <w:ind w:left="0"/>
              <w:jc w:val="center"/>
              <w:rPr>
                <w:rFonts w:cs="Arial"/>
                <w:b/>
                <w:color w:val="FFFFFF" w:themeColor="background1"/>
              </w:rPr>
            </w:pPr>
            <w:r>
              <w:rPr>
                <w:rFonts w:cs="Arial"/>
                <w:b/>
                <w:color w:val="FFFFFF" w:themeColor="background1"/>
              </w:rPr>
              <w:t>Méthodes de valorisation les plus utilisées</w:t>
            </w:r>
          </w:p>
        </w:tc>
      </w:tr>
      <w:tr w:rsidR="00EC1B71" w:rsidRPr="005C7ED5" w:rsidTr="00B95ECF">
        <w:trPr>
          <w:trHeight w:val="397"/>
          <w:jc w:val="center"/>
        </w:trPr>
        <w:tc>
          <w:tcPr>
            <w:tcW w:w="605" w:type="dxa"/>
            <w:shd w:val="clear" w:color="auto" w:fill="FFFFFF" w:themeFill="background1"/>
            <w:vAlign w:val="center"/>
          </w:tcPr>
          <w:p w:rsidR="00EC1B71" w:rsidRPr="008A76F4" w:rsidRDefault="00EC1B71" w:rsidP="00B95ECF">
            <w:pPr>
              <w:jc w:val="center"/>
              <w:rPr>
                <w:rFonts w:cs="Arial"/>
                <w:b/>
              </w:rPr>
            </w:pPr>
            <w:r w:rsidRPr="008A76F4">
              <w:rPr>
                <w:rFonts w:cs="Arial"/>
                <w:b/>
              </w:rPr>
              <w:t>A</w:t>
            </w:r>
          </w:p>
        </w:tc>
        <w:tc>
          <w:tcPr>
            <w:tcW w:w="8541" w:type="dxa"/>
            <w:shd w:val="clear" w:color="auto" w:fill="FFFFFF" w:themeFill="background1"/>
            <w:vAlign w:val="center"/>
          </w:tcPr>
          <w:p w:rsidR="00EC1B71" w:rsidRPr="008A76F4" w:rsidRDefault="00EC1B71" w:rsidP="00B95ECF">
            <w:pPr>
              <w:jc w:val="both"/>
              <w:rPr>
                <w:rFonts w:cs="Arial"/>
              </w:rPr>
            </w:pPr>
            <w:r>
              <w:rPr>
                <w:rFonts w:cs="Arial"/>
                <w:b/>
              </w:rPr>
              <w:t>U</w:t>
            </w:r>
            <w:r w:rsidRPr="008A76F4">
              <w:rPr>
                <w:rFonts w:cs="Arial"/>
                <w:b/>
              </w:rPr>
              <w:t>nités d’œuvre</w:t>
            </w:r>
            <w:r w:rsidRPr="008A76F4">
              <w:rPr>
                <w:rFonts w:cs="Arial"/>
              </w:rPr>
              <w:t xml:space="preserve"> (nombre par jours, taux horaires…), objectivables par des pièces comptables (factures, relevés de temps…)</w:t>
            </w:r>
          </w:p>
        </w:tc>
      </w:tr>
      <w:tr w:rsidR="00EC1B71" w:rsidRPr="005C7ED5" w:rsidTr="00B95ECF">
        <w:trPr>
          <w:trHeight w:val="397"/>
          <w:jc w:val="center"/>
        </w:trPr>
        <w:tc>
          <w:tcPr>
            <w:tcW w:w="605" w:type="dxa"/>
            <w:shd w:val="clear" w:color="auto" w:fill="FFFFFF" w:themeFill="background1"/>
            <w:vAlign w:val="center"/>
          </w:tcPr>
          <w:p w:rsidR="00EC1B71" w:rsidRPr="008A76F4" w:rsidRDefault="00EC1B71" w:rsidP="00B95ECF">
            <w:pPr>
              <w:jc w:val="center"/>
              <w:rPr>
                <w:rFonts w:cs="Arial"/>
                <w:b/>
              </w:rPr>
            </w:pPr>
            <w:r w:rsidRPr="008A76F4">
              <w:rPr>
                <w:rFonts w:cs="Arial"/>
                <w:b/>
              </w:rPr>
              <w:t>B</w:t>
            </w:r>
          </w:p>
        </w:tc>
        <w:tc>
          <w:tcPr>
            <w:tcW w:w="8541" w:type="dxa"/>
            <w:shd w:val="clear" w:color="auto" w:fill="FFFFFF" w:themeFill="background1"/>
            <w:vAlign w:val="center"/>
          </w:tcPr>
          <w:p w:rsidR="00EC1B71" w:rsidRPr="008A76F4" w:rsidRDefault="00EC1B71" w:rsidP="00B95ECF">
            <w:pPr>
              <w:jc w:val="both"/>
              <w:rPr>
                <w:rFonts w:cs="Arial"/>
              </w:rPr>
            </w:pPr>
            <w:proofErr w:type="spellStart"/>
            <w:r>
              <w:rPr>
                <w:rFonts w:cs="Arial"/>
                <w:b/>
              </w:rPr>
              <w:t>Measured</w:t>
            </w:r>
            <w:proofErr w:type="spellEnd"/>
            <w:r>
              <w:rPr>
                <w:rFonts w:cs="Arial"/>
                <w:b/>
              </w:rPr>
              <w:t xml:space="preserve"> mile</w:t>
            </w:r>
            <w:r w:rsidRPr="008A76F4">
              <w:rPr>
                <w:rFonts w:cs="Arial"/>
              </w:rPr>
              <w:t xml:space="preserve"> (sur la base du réalisé mesuré</w:t>
            </w:r>
            <w:r>
              <w:rPr>
                <w:rFonts w:cs="Arial"/>
              </w:rPr>
              <w:t xml:space="preserve"> en condition nominale</w:t>
            </w:r>
            <w:r w:rsidRPr="008A76F4">
              <w:rPr>
                <w:rFonts w:cs="Arial"/>
              </w:rPr>
              <w:t>, extrapolation du reste à faire)</w:t>
            </w:r>
          </w:p>
        </w:tc>
      </w:tr>
      <w:tr w:rsidR="00EC1B71" w:rsidRPr="005C7ED5" w:rsidTr="00B95ECF">
        <w:trPr>
          <w:trHeight w:val="397"/>
          <w:jc w:val="center"/>
        </w:trPr>
        <w:tc>
          <w:tcPr>
            <w:tcW w:w="605" w:type="dxa"/>
            <w:shd w:val="clear" w:color="auto" w:fill="FFFFFF" w:themeFill="background1"/>
            <w:vAlign w:val="center"/>
          </w:tcPr>
          <w:p w:rsidR="00EC1B71" w:rsidRPr="008A76F4" w:rsidRDefault="00EC1B71" w:rsidP="00B95ECF">
            <w:pPr>
              <w:jc w:val="center"/>
              <w:rPr>
                <w:rFonts w:cs="Arial"/>
                <w:b/>
              </w:rPr>
            </w:pPr>
            <w:r w:rsidRPr="008A76F4">
              <w:rPr>
                <w:rFonts w:cs="Arial"/>
                <w:b/>
              </w:rPr>
              <w:t>C</w:t>
            </w:r>
          </w:p>
        </w:tc>
        <w:tc>
          <w:tcPr>
            <w:tcW w:w="8541" w:type="dxa"/>
            <w:shd w:val="clear" w:color="auto" w:fill="FFFFFF" w:themeFill="background1"/>
            <w:vAlign w:val="center"/>
          </w:tcPr>
          <w:p w:rsidR="00EC1B71" w:rsidRPr="008A76F4" w:rsidRDefault="00EC1B71" w:rsidP="00B95ECF">
            <w:pPr>
              <w:jc w:val="both"/>
              <w:rPr>
                <w:rFonts w:cs="Arial"/>
              </w:rPr>
            </w:pPr>
            <w:r w:rsidRPr="008A76F4">
              <w:rPr>
                <w:rFonts w:cs="Arial"/>
                <w:b/>
              </w:rPr>
              <w:t>Comparaison industrielle</w:t>
            </w:r>
            <w:r w:rsidRPr="008A76F4">
              <w:rPr>
                <w:rFonts w:cs="Arial"/>
              </w:rPr>
              <w:t xml:space="preserve"> (réalisation équivalente dans le cadre du Programme et/ou </w:t>
            </w:r>
            <w:r>
              <w:rPr>
                <w:rFonts w:cs="Arial"/>
              </w:rPr>
              <w:t xml:space="preserve">d’autres programmes et/ou </w:t>
            </w:r>
            <w:r w:rsidRPr="008A76F4">
              <w:rPr>
                <w:rFonts w:cs="Arial"/>
              </w:rPr>
              <w:t>règles de l’art)</w:t>
            </w:r>
          </w:p>
        </w:tc>
      </w:tr>
      <w:tr w:rsidR="00EC1B71" w:rsidRPr="005C7ED5" w:rsidTr="00B95ECF">
        <w:trPr>
          <w:trHeight w:val="454"/>
          <w:jc w:val="center"/>
        </w:trPr>
        <w:tc>
          <w:tcPr>
            <w:tcW w:w="605" w:type="dxa"/>
            <w:shd w:val="clear" w:color="auto" w:fill="FFFFFF" w:themeFill="background1"/>
            <w:vAlign w:val="center"/>
          </w:tcPr>
          <w:p w:rsidR="00EC1B71" w:rsidRPr="008A76F4" w:rsidRDefault="00EC1B71" w:rsidP="00B95ECF">
            <w:pPr>
              <w:jc w:val="center"/>
              <w:rPr>
                <w:rFonts w:cs="Arial"/>
                <w:b/>
              </w:rPr>
            </w:pPr>
            <w:r w:rsidRPr="008A76F4">
              <w:rPr>
                <w:rFonts w:cs="Arial"/>
                <w:b/>
              </w:rPr>
              <w:t>D</w:t>
            </w:r>
          </w:p>
        </w:tc>
        <w:tc>
          <w:tcPr>
            <w:tcW w:w="8541" w:type="dxa"/>
            <w:shd w:val="clear" w:color="auto" w:fill="FFFFFF" w:themeFill="background1"/>
            <w:vAlign w:val="center"/>
          </w:tcPr>
          <w:p w:rsidR="00EC1B71" w:rsidRPr="008A76F4" w:rsidRDefault="00EC1B71" w:rsidP="00B95ECF">
            <w:pPr>
              <w:jc w:val="both"/>
              <w:rPr>
                <w:rFonts w:cs="Arial"/>
              </w:rPr>
            </w:pPr>
            <w:r w:rsidRPr="008A76F4">
              <w:rPr>
                <w:rFonts w:cs="Arial"/>
                <w:b/>
              </w:rPr>
              <w:t xml:space="preserve">Comparaison </w:t>
            </w:r>
            <w:r>
              <w:rPr>
                <w:rFonts w:cs="Arial"/>
                <w:b/>
              </w:rPr>
              <w:t xml:space="preserve">entre planifié et réalisé </w:t>
            </w:r>
            <w:r w:rsidRPr="004725AD">
              <w:rPr>
                <w:rFonts w:cs="Arial"/>
              </w:rPr>
              <w:t>(extrapolation de ce q</w:t>
            </w:r>
            <w:r>
              <w:rPr>
                <w:rFonts w:cs="Arial"/>
              </w:rPr>
              <w:t>ui s’est passé dans les faits,</w:t>
            </w:r>
            <w:r w:rsidRPr="004725AD">
              <w:rPr>
                <w:rFonts w:cs="Arial"/>
              </w:rPr>
              <w:t xml:space="preserve"> projection dans le futur)</w:t>
            </w:r>
            <w:r w:rsidRPr="008A76F4">
              <w:rPr>
                <w:rFonts w:cs="Arial"/>
              </w:rPr>
              <w:t xml:space="preserve"> </w:t>
            </w:r>
          </w:p>
        </w:tc>
      </w:tr>
      <w:tr w:rsidR="00EC1B71" w:rsidRPr="005C7ED5" w:rsidTr="00B95ECF">
        <w:trPr>
          <w:trHeight w:val="397"/>
          <w:jc w:val="center"/>
        </w:trPr>
        <w:tc>
          <w:tcPr>
            <w:tcW w:w="605" w:type="dxa"/>
            <w:shd w:val="clear" w:color="auto" w:fill="FFFFFF" w:themeFill="background1"/>
            <w:vAlign w:val="center"/>
          </w:tcPr>
          <w:p w:rsidR="00EC1B71" w:rsidRPr="008A76F4" w:rsidRDefault="00EC1B71" w:rsidP="00B95ECF">
            <w:pPr>
              <w:jc w:val="center"/>
              <w:rPr>
                <w:rFonts w:cs="Arial"/>
                <w:b/>
              </w:rPr>
            </w:pPr>
            <w:r w:rsidRPr="008A76F4">
              <w:rPr>
                <w:rFonts w:cs="Arial"/>
                <w:b/>
              </w:rPr>
              <w:t>E</w:t>
            </w:r>
          </w:p>
        </w:tc>
        <w:tc>
          <w:tcPr>
            <w:tcW w:w="8541" w:type="dxa"/>
            <w:shd w:val="clear" w:color="auto" w:fill="FFFFFF" w:themeFill="background1"/>
            <w:vAlign w:val="center"/>
          </w:tcPr>
          <w:p w:rsidR="00EC1B71" w:rsidRPr="008A76F4" w:rsidRDefault="00EC1B71" w:rsidP="00B95ECF">
            <w:pPr>
              <w:jc w:val="both"/>
              <w:rPr>
                <w:rFonts w:cs="Arial"/>
              </w:rPr>
            </w:pPr>
            <w:r w:rsidRPr="008A76F4">
              <w:rPr>
                <w:rFonts w:cs="Arial"/>
                <w:b/>
              </w:rPr>
              <w:t>Comptabilité analytique</w:t>
            </w:r>
            <w:r w:rsidRPr="008A76F4">
              <w:rPr>
                <w:rFonts w:cs="Arial"/>
              </w:rPr>
              <w:t xml:space="preserve"> </w:t>
            </w:r>
            <w:r>
              <w:rPr>
                <w:rFonts w:cs="Arial"/>
              </w:rPr>
              <w:t>(sur la base des coûts détaillés enregistrés)</w:t>
            </w:r>
          </w:p>
        </w:tc>
      </w:tr>
      <w:tr w:rsidR="00EC1B71" w:rsidRPr="005C7ED5" w:rsidTr="00B95ECF">
        <w:trPr>
          <w:trHeight w:val="397"/>
          <w:jc w:val="center"/>
        </w:trPr>
        <w:tc>
          <w:tcPr>
            <w:tcW w:w="605" w:type="dxa"/>
            <w:shd w:val="clear" w:color="auto" w:fill="FFFFFF" w:themeFill="background1"/>
            <w:vAlign w:val="center"/>
          </w:tcPr>
          <w:p w:rsidR="00EC1B71" w:rsidRPr="008A76F4" w:rsidRDefault="00EC1B71" w:rsidP="00B95ECF">
            <w:pPr>
              <w:jc w:val="center"/>
              <w:rPr>
                <w:rFonts w:cs="Arial"/>
                <w:b/>
              </w:rPr>
            </w:pPr>
            <w:r w:rsidRPr="008A76F4">
              <w:rPr>
                <w:rFonts w:cs="Arial"/>
                <w:b/>
              </w:rPr>
              <w:t>F</w:t>
            </w:r>
          </w:p>
        </w:tc>
        <w:tc>
          <w:tcPr>
            <w:tcW w:w="8541" w:type="dxa"/>
            <w:shd w:val="clear" w:color="auto" w:fill="FFFFFF" w:themeFill="background1"/>
            <w:vAlign w:val="center"/>
          </w:tcPr>
          <w:p w:rsidR="00EC1B71" w:rsidRPr="008A76F4" w:rsidRDefault="00EC1B71" w:rsidP="00B95ECF">
            <w:pPr>
              <w:jc w:val="both"/>
              <w:rPr>
                <w:rFonts w:cs="Arial"/>
              </w:rPr>
            </w:pPr>
            <w:r w:rsidRPr="008A76F4">
              <w:rPr>
                <w:rFonts w:cs="Arial"/>
                <w:b/>
              </w:rPr>
              <w:t>Avenant / Accord préalable</w:t>
            </w:r>
            <w:r w:rsidRPr="008A76F4">
              <w:rPr>
                <w:rFonts w:cs="Arial"/>
              </w:rPr>
              <w:t xml:space="preserve"> </w:t>
            </w:r>
            <w:r>
              <w:rPr>
                <w:rFonts w:cs="Arial"/>
              </w:rPr>
              <w:t>(</w:t>
            </w:r>
            <w:r w:rsidRPr="008A76F4">
              <w:rPr>
                <w:rFonts w:cs="Arial"/>
              </w:rPr>
              <w:t>pouvant servir de référence</w:t>
            </w:r>
            <w:r>
              <w:rPr>
                <w:rFonts w:cs="Arial"/>
              </w:rPr>
              <w:t>)</w:t>
            </w:r>
          </w:p>
        </w:tc>
      </w:tr>
      <w:tr w:rsidR="00EC1B71" w:rsidRPr="005C7ED5" w:rsidTr="00B95ECF">
        <w:trPr>
          <w:trHeight w:val="397"/>
          <w:jc w:val="center"/>
        </w:trPr>
        <w:tc>
          <w:tcPr>
            <w:tcW w:w="605" w:type="dxa"/>
            <w:shd w:val="clear" w:color="auto" w:fill="FFFFFF" w:themeFill="background1"/>
            <w:vAlign w:val="center"/>
          </w:tcPr>
          <w:p w:rsidR="00EC1B71" w:rsidRPr="008A76F4" w:rsidRDefault="00EC1B71" w:rsidP="00B95ECF">
            <w:pPr>
              <w:jc w:val="center"/>
              <w:rPr>
                <w:rFonts w:cs="Arial"/>
                <w:b/>
              </w:rPr>
            </w:pPr>
            <w:r w:rsidRPr="008A76F4">
              <w:rPr>
                <w:rFonts w:cs="Arial"/>
                <w:b/>
              </w:rPr>
              <w:t>G</w:t>
            </w:r>
          </w:p>
        </w:tc>
        <w:tc>
          <w:tcPr>
            <w:tcW w:w="8541" w:type="dxa"/>
            <w:shd w:val="clear" w:color="auto" w:fill="FFFFFF" w:themeFill="background1"/>
            <w:vAlign w:val="center"/>
          </w:tcPr>
          <w:p w:rsidR="00EC1B71" w:rsidRPr="008A76F4" w:rsidRDefault="00EC1B71" w:rsidP="00B95ECF">
            <w:pPr>
              <w:jc w:val="both"/>
              <w:rPr>
                <w:rFonts w:cs="Arial"/>
              </w:rPr>
            </w:pPr>
            <w:r w:rsidRPr="008A76F4">
              <w:rPr>
                <w:rFonts w:cs="Arial"/>
                <w:b/>
              </w:rPr>
              <w:t>Référence à des prestations et/ou fournitures vendues ou achetées sur d’autres Marchés</w:t>
            </w:r>
            <w:r w:rsidRPr="008A76F4">
              <w:rPr>
                <w:rFonts w:cs="Arial"/>
              </w:rPr>
              <w:t xml:space="preserve"> (attention dans ce cas à imposer le secret commercial et ne pas communiquer de factures ou données économiques/commerciales relatives à d’autres Marchés)</w:t>
            </w:r>
          </w:p>
        </w:tc>
      </w:tr>
    </w:tbl>
    <w:p w:rsidR="00EC1B71" w:rsidRPr="00470462" w:rsidRDefault="00EC1B71" w:rsidP="00EC1B71">
      <w:pPr>
        <w:jc w:val="both"/>
        <w:rPr>
          <w:rFonts w:cs="Arial"/>
          <w:sz w:val="14"/>
        </w:rPr>
      </w:pPr>
    </w:p>
    <w:p w:rsidR="00EC1B71" w:rsidRDefault="00EC1B71" w:rsidP="00EC1B71">
      <w:pPr>
        <w:spacing w:line="240" w:lineRule="auto"/>
        <w:jc w:val="both"/>
        <w:rPr>
          <w:rFonts w:cs="Arial"/>
        </w:rPr>
      </w:pPr>
      <w:r>
        <w:rPr>
          <w:rFonts w:cs="Arial"/>
        </w:rPr>
        <w:t>Concernant les coûts à considérer pour la valorisation</w:t>
      </w:r>
      <w:r w:rsidRPr="00357A66">
        <w:rPr>
          <w:rFonts w:cs="Arial"/>
        </w:rPr>
        <w:t xml:space="preserve">, </w:t>
      </w:r>
      <w:r>
        <w:rPr>
          <w:rFonts w:cs="Arial"/>
        </w:rPr>
        <w:t>selon le type de prestation et de préjudice, les éléments suivants seront à considérer :</w:t>
      </w:r>
    </w:p>
    <w:tbl>
      <w:tblPr>
        <w:tblStyle w:val="Grilledutableau"/>
        <w:tblW w:w="0" w:type="auto"/>
        <w:jc w:val="center"/>
        <w:tblLook w:val="04A0" w:firstRow="1" w:lastRow="0" w:firstColumn="1" w:lastColumn="0" w:noHBand="0" w:noVBand="1"/>
      </w:tblPr>
      <w:tblGrid>
        <w:gridCol w:w="658"/>
        <w:gridCol w:w="8404"/>
      </w:tblGrid>
      <w:tr w:rsidR="00EC1B71" w:rsidRPr="005C7ED5" w:rsidTr="00B95ECF">
        <w:trPr>
          <w:trHeight w:val="510"/>
          <w:jc w:val="center"/>
        </w:trPr>
        <w:tc>
          <w:tcPr>
            <w:tcW w:w="9180" w:type="dxa"/>
            <w:gridSpan w:val="2"/>
            <w:shd w:val="clear" w:color="auto" w:fill="44546A" w:themeFill="text2"/>
            <w:vAlign w:val="center"/>
          </w:tcPr>
          <w:p w:rsidR="00EC1B71" w:rsidRPr="005C7ED5" w:rsidRDefault="00EC1B71" w:rsidP="00B95ECF">
            <w:pPr>
              <w:jc w:val="center"/>
              <w:rPr>
                <w:rFonts w:cs="Arial"/>
                <w:b/>
                <w:color w:val="FFFFFF" w:themeColor="background1"/>
              </w:rPr>
            </w:pPr>
            <w:r>
              <w:rPr>
                <w:rFonts w:cs="Arial"/>
                <w:b/>
                <w:color w:val="FFFFFF" w:themeColor="background1"/>
              </w:rPr>
              <w:t xml:space="preserve">Types de coûts à considérer </w:t>
            </w:r>
            <w:proofErr w:type="gramStart"/>
            <w:r>
              <w:rPr>
                <w:rFonts w:cs="Arial"/>
                <w:b/>
                <w:color w:val="FFFFFF" w:themeColor="background1"/>
              </w:rPr>
              <w:t>a</w:t>
            </w:r>
            <w:proofErr w:type="gramEnd"/>
            <w:r>
              <w:rPr>
                <w:rFonts w:cs="Arial"/>
                <w:b/>
                <w:color w:val="FFFFFF" w:themeColor="background1"/>
              </w:rPr>
              <w:t xml:space="preserve"> minima</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1</w:t>
            </w:r>
          </w:p>
        </w:tc>
        <w:tc>
          <w:tcPr>
            <w:tcW w:w="8521" w:type="dxa"/>
            <w:vAlign w:val="center"/>
          </w:tcPr>
          <w:p w:rsidR="00EC1B71" w:rsidRPr="0029073D" w:rsidRDefault="00EC1B71" w:rsidP="00B95ECF">
            <w:pPr>
              <w:ind w:left="93"/>
              <w:jc w:val="both"/>
              <w:rPr>
                <w:rFonts w:cs="Arial"/>
              </w:rPr>
            </w:pPr>
            <w:r w:rsidRPr="0029073D">
              <w:rPr>
                <w:rFonts w:cs="Arial"/>
              </w:rPr>
              <w:t>Coût de main-d’œuvre pour les services supplémentaires, accélérations, modifications, actions spéciales</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2</w:t>
            </w:r>
          </w:p>
        </w:tc>
        <w:tc>
          <w:tcPr>
            <w:tcW w:w="8521" w:type="dxa"/>
            <w:vAlign w:val="center"/>
          </w:tcPr>
          <w:p w:rsidR="00EC1B71" w:rsidRPr="0029073D" w:rsidRDefault="00EC1B71" w:rsidP="00B95ECF">
            <w:pPr>
              <w:ind w:left="141"/>
              <w:jc w:val="both"/>
              <w:rPr>
                <w:rFonts w:cs="Arial"/>
              </w:rPr>
            </w:pPr>
            <w:r w:rsidRPr="0029073D">
              <w:rPr>
                <w:rFonts w:cs="Arial"/>
              </w:rPr>
              <w:t xml:space="preserve">Coûts supplémentaires pour les fournitures (matériaux, outils, </w:t>
            </w:r>
            <w:proofErr w:type="gramStart"/>
            <w:r w:rsidRPr="0029073D">
              <w:rPr>
                <w:rFonts w:cs="Arial"/>
              </w:rPr>
              <w:t>équipements,…</w:t>
            </w:r>
            <w:proofErr w:type="gramEnd"/>
            <w:r w:rsidRPr="0029073D">
              <w:rPr>
                <w:rFonts w:cs="Arial"/>
              </w:rPr>
              <w:t>)</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3</w:t>
            </w:r>
          </w:p>
        </w:tc>
        <w:tc>
          <w:tcPr>
            <w:tcW w:w="8521" w:type="dxa"/>
            <w:vAlign w:val="center"/>
          </w:tcPr>
          <w:p w:rsidR="00EC1B71" w:rsidRPr="0029073D" w:rsidRDefault="00EC1B71" w:rsidP="00B95ECF">
            <w:pPr>
              <w:ind w:left="141"/>
              <w:jc w:val="both"/>
              <w:rPr>
                <w:rFonts w:cs="Arial"/>
              </w:rPr>
            </w:pPr>
            <w:r w:rsidRPr="0029073D">
              <w:rPr>
                <w:rFonts w:cs="Arial"/>
              </w:rPr>
              <w:t xml:space="preserve">Coûts d’infrastructure (y. c. location de matériel de chantier, de locaux, …) </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4</w:t>
            </w:r>
          </w:p>
        </w:tc>
        <w:tc>
          <w:tcPr>
            <w:tcW w:w="8521" w:type="dxa"/>
            <w:vAlign w:val="center"/>
          </w:tcPr>
          <w:p w:rsidR="00EC1B71" w:rsidRPr="0029073D" w:rsidRDefault="00EC1B71" w:rsidP="00B95ECF">
            <w:pPr>
              <w:ind w:left="141"/>
              <w:jc w:val="both"/>
              <w:rPr>
                <w:rFonts w:cs="Arial"/>
              </w:rPr>
            </w:pPr>
            <w:r w:rsidRPr="0029073D">
              <w:rPr>
                <w:rFonts w:cs="Arial"/>
              </w:rPr>
              <w:t>Coûts de Management (équipe Programme, CM, …)</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5</w:t>
            </w:r>
          </w:p>
        </w:tc>
        <w:tc>
          <w:tcPr>
            <w:tcW w:w="8521" w:type="dxa"/>
            <w:vAlign w:val="center"/>
          </w:tcPr>
          <w:p w:rsidR="00EC1B71" w:rsidRPr="0029073D" w:rsidRDefault="00EC1B71" w:rsidP="00B95ECF">
            <w:pPr>
              <w:ind w:left="141"/>
              <w:jc w:val="both"/>
              <w:rPr>
                <w:rFonts w:cs="Arial"/>
              </w:rPr>
            </w:pPr>
            <w:r w:rsidRPr="0029073D">
              <w:rPr>
                <w:rFonts w:cs="Arial"/>
              </w:rPr>
              <w:t>Coûts de</w:t>
            </w:r>
            <w:r>
              <w:rPr>
                <w:rFonts w:cs="Arial"/>
              </w:rPr>
              <w:t xml:space="preserve"> contrôle et de</w:t>
            </w:r>
            <w:r w:rsidRPr="0029073D">
              <w:rPr>
                <w:rFonts w:cs="Arial"/>
              </w:rPr>
              <w:t xml:space="preserve"> supervision</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6</w:t>
            </w:r>
          </w:p>
        </w:tc>
        <w:tc>
          <w:tcPr>
            <w:tcW w:w="8521" w:type="dxa"/>
            <w:vAlign w:val="center"/>
          </w:tcPr>
          <w:p w:rsidR="00EC1B71" w:rsidRPr="0029073D" w:rsidRDefault="00EC1B71" w:rsidP="00B95ECF">
            <w:pPr>
              <w:ind w:left="141"/>
              <w:jc w:val="both"/>
              <w:rPr>
                <w:rFonts w:cs="Arial"/>
              </w:rPr>
            </w:pPr>
            <w:r w:rsidRPr="0029073D">
              <w:rPr>
                <w:rFonts w:cs="Arial"/>
              </w:rPr>
              <w:t>Impacts dus aux interruptions et durée de la démobilisation / remobilisation des ressources</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7</w:t>
            </w:r>
          </w:p>
        </w:tc>
        <w:tc>
          <w:tcPr>
            <w:tcW w:w="8521" w:type="dxa"/>
            <w:vAlign w:val="center"/>
          </w:tcPr>
          <w:p w:rsidR="00EC1B71" w:rsidRPr="0029073D" w:rsidRDefault="00EC1B71" w:rsidP="00B95ECF">
            <w:pPr>
              <w:ind w:left="141"/>
              <w:jc w:val="both"/>
              <w:rPr>
                <w:rFonts w:cs="Arial"/>
              </w:rPr>
            </w:pPr>
            <w:r w:rsidRPr="0029073D">
              <w:rPr>
                <w:rFonts w:cs="Arial"/>
              </w:rPr>
              <w:t xml:space="preserve">Impacts dus aux perturbations et </w:t>
            </w:r>
            <w:r>
              <w:rPr>
                <w:rFonts w:cs="Arial"/>
              </w:rPr>
              <w:t xml:space="preserve">aux </w:t>
            </w:r>
            <w:r w:rsidRPr="0029073D">
              <w:rPr>
                <w:rFonts w:cs="Arial"/>
              </w:rPr>
              <w:t>baisses de performance</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lastRenderedPageBreak/>
              <w:t>8</w:t>
            </w:r>
          </w:p>
        </w:tc>
        <w:tc>
          <w:tcPr>
            <w:tcW w:w="8521" w:type="dxa"/>
            <w:vAlign w:val="center"/>
          </w:tcPr>
          <w:p w:rsidR="00EC1B71" w:rsidRPr="0029073D" w:rsidRDefault="00EC1B71" w:rsidP="00B95ECF">
            <w:pPr>
              <w:ind w:left="141"/>
              <w:jc w:val="both"/>
              <w:rPr>
                <w:rFonts w:cs="Arial"/>
              </w:rPr>
            </w:pPr>
            <w:r w:rsidRPr="0029073D">
              <w:rPr>
                <w:rFonts w:cs="Arial"/>
              </w:rPr>
              <w:t>Frais généraux et frais de structure (Frais hors Production « FHP »)</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9</w:t>
            </w:r>
          </w:p>
        </w:tc>
        <w:tc>
          <w:tcPr>
            <w:tcW w:w="8521" w:type="dxa"/>
            <w:vAlign w:val="center"/>
          </w:tcPr>
          <w:p w:rsidR="00EC1B71" w:rsidRPr="0029073D" w:rsidRDefault="00EC1B71" w:rsidP="00B95ECF">
            <w:pPr>
              <w:ind w:left="141"/>
              <w:jc w:val="both"/>
              <w:rPr>
                <w:rFonts w:cs="Arial"/>
              </w:rPr>
            </w:pPr>
            <w:r w:rsidRPr="0029073D">
              <w:rPr>
                <w:rFonts w:cs="Arial"/>
              </w:rPr>
              <w:t>Frais d’expédition et de transport</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10</w:t>
            </w:r>
          </w:p>
        </w:tc>
        <w:tc>
          <w:tcPr>
            <w:tcW w:w="8521" w:type="dxa"/>
            <w:vAlign w:val="center"/>
          </w:tcPr>
          <w:p w:rsidR="00EC1B71" w:rsidRPr="0029073D" w:rsidRDefault="00EC1B71" w:rsidP="00B95ECF">
            <w:pPr>
              <w:ind w:left="141"/>
              <w:jc w:val="both"/>
              <w:rPr>
                <w:rFonts w:cs="Arial"/>
              </w:rPr>
            </w:pPr>
            <w:r w:rsidRPr="0029073D">
              <w:rPr>
                <w:rFonts w:cs="Arial"/>
              </w:rPr>
              <w:t>Coûts de stockage et de gardiennage (y. c. stockage longue durée, préservation et contrôle des équipements)</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11</w:t>
            </w:r>
          </w:p>
        </w:tc>
        <w:tc>
          <w:tcPr>
            <w:tcW w:w="8521" w:type="dxa"/>
            <w:vAlign w:val="center"/>
          </w:tcPr>
          <w:p w:rsidR="00EC1B71" w:rsidRPr="0029073D" w:rsidRDefault="00EC1B71" w:rsidP="00B95ECF">
            <w:pPr>
              <w:ind w:left="141"/>
              <w:jc w:val="both"/>
              <w:rPr>
                <w:rFonts w:cs="Arial"/>
              </w:rPr>
            </w:pPr>
            <w:r w:rsidRPr="0029073D">
              <w:rPr>
                <w:rFonts w:cs="Arial"/>
              </w:rPr>
              <w:t xml:space="preserve">Frais d’assurances </w:t>
            </w:r>
            <w:r>
              <w:rPr>
                <w:rFonts w:cs="Arial"/>
              </w:rPr>
              <w:t xml:space="preserve">et de garantie </w:t>
            </w:r>
            <w:r w:rsidRPr="0029073D">
              <w:rPr>
                <w:rFonts w:cs="Arial"/>
              </w:rPr>
              <w:t xml:space="preserve">(y. c. couverture supplémentaire, évolution de la police, prolongations, … </w:t>
            </w:r>
            <w:r>
              <w:rPr>
                <w:rFonts w:cs="Arial"/>
              </w:rPr>
              <w:t xml:space="preserve">- </w:t>
            </w:r>
            <w:r w:rsidRPr="0029073D">
              <w:rPr>
                <w:rFonts w:cs="Arial"/>
              </w:rPr>
              <w:t>ne pas oublier les fournisseurs et sous-traitants)</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12</w:t>
            </w:r>
          </w:p>
        </w:tc>
        <w:tc>
          <w:tcPr>
            <w:tcW w:w="8521" w:type="dxa"/>
            <w:vAlign w:val="center"/>
          </w:tcPr>
          <w:p w:rsidR="00EC1B71" w:rsidRPr="0029073D" w:rsidRDefault="00EC1B71" w:rsidP="00B95ECF">
            <w:pPr>
              <w:ind w:left="141"/>
              <w:jc w:val="both"/>
              <w:rPr>
                <w:rFonts w:cs="Arial"/>
              </w:rPr>
            </w:pPr>
            <w:r w:rsidRPr="0029073D">
              <w:rPr>
                <w:rFonts w:cs="Arial"/>
              </w:rPr>
              <w:t>Frais de déplacement, hébergement, restauration, … (toutes dépenses annexes justifiées par notes de frais)</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13</w:t>
            </w:r>
          </w:p>
        </w:tc>
        <w:tc>
          <w:tcPr>
            <w:tcW w:w="8521" w:type="dxa"/>
            <w:vAlign w:val="center"/>
          </w:tcPr>
          <w:p w:rsidR="00EC1B71" w:rsidRPr="0029073D" w:rsidRDefault="00EC1B71" w:rsidP="00B95ECF">
            <w:pPr>
              <w:ind w:left="141"/>
              <w:jc w:val="both"/>
              <w:rPr>
                <w:rFonts w:cs="Arial"/>
              </w:rPr>
            </w:pPr>
            <w:r w:rsidRPr="0029073D">
              <w:rPr>
                <w:rFonts w:cs="Arial"/>
              </w:rPr>
              <w:t>Augmentation des coûts due à l’inflation ou à l’application d’une formule de révision de prix</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14</w:t>
            </w:r>
          </w:p>
        </w:tc>
        <w:tc>
          <w:tcPr>
            <w:tcW w:w="8521" w:type="dxa"/>
            <w:vAlign w:val="center"/>
          </w:tcPr>
          <w:p w:rsidR="00EC1B71" w:rsidRPr="0029073D" w:rsidRDefault="00EC1B71" w:rsidP="00B95ECF">
            <w:pPr>
              <w:ind w:left="141"/>
              <w:jc w:val="both"/>
              <w:rPr>
                <w:rFonts w:cs="Arial"/>
              </w:rPr>
            </w:pPr>
            <w:r w:rsidRPr="0029073D">
              <w:rPr>
                <w:rFonts w:cs="Arial"/>
              </w:rPr>
              <w:t xml:space="preserve">Frais additionnels pour risques financiers (coûts de financement additionnels, pertes de financement/investissement, cash </w:t>
            </w:r>
            <w:proofErr w:type="spellStart"/>
            <w:r w:rsidRPr="0029073D">
              <w:rPr>
                <w:rFonts w:cs="Arial"/>
              </w:rPr>
              <w:t>curve</w:t>
            </w:r>
            <w:proofErr w:type="spellEnd"/>
            <w:r w:rsidRPr="0029073D">
              <w:rPr>
                <w:rFonts w:cs="Arial"/>
              </w:rPr>
              <w:t xml:space="preserve"> négatif, …)</w:t>
            </w:r>
          </w:p>
        </w:tc>
      </w:tr>
      <w:tr w:rsidR="00EC1B71" w:rsidRPr="005C7ED5" w:rsidTr="00B95ECF">
        <w:trPr>
          <w:trHeight w:val="283"/>
          <w:jc w:val="center"/>
        </w:trPr>
        <w:tc>
          <w:tcPr>
            <w:tcW w:w="659" w:type="dxa"/>
            <w:vAlign w:val="center"/>
          </w:tcPr>
          <w:p w:rsidR="00EC1B71" w:rsidRPr="008A76F4" w:rsidRDefault="00EC1B71" w:rsidP="00B95ECF">
            <w:pPr>
              <w:jc w:val="center"/>
              <w:rPr>
                <w:rFonts w:cs="Arial"/>
                <w:b/>
              </w:rPr>
            </w:pPr>
            <w:r w:rsidRPr="008A76F4">
              <w:rPr>
                <w:rFonts w:cs="Arial"/>
                <w:b/>
              </w:rPr>
              <w:t>15</w:t>
            </w:r>
          </w:p>
        </w:tc>
        <w:tc>
          <w:tcPr>
            <w:tcW w:w="8521" w:type="dxa"/>
            <w:vAlign w:val="center"/>
          </w:tcPr>
          <w:p w:rsidR="00EC1B71" w:rsidRPr="0029073D" w:rsidRDefault="00EC1B71" w:rsidP="00B95ECF">
            <w:pPr>
              <w:ind w:left="141"/>
              <w:jc w:val="both"/>
              <w:rPr>
                <w:rFonts w:cs="Arial"/>
              </w:rPr>
            </w:pPr>
            <w:r w:rsidRPr="0029073D">
              <w:rPr>
                <w:rFonts w:cs="Arial"/>
              </w:rPr>
              <w:t>Coûts supplémentaires liés aux garanties bancaires (y. c. prolongations, ne pas oublier les fournisseurs et sous-traitants)</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16</w:t>
            </w:r>
          </w:p>
        </w:tc>
        <w:tc>
          <w:tcPr>
            <w:tcW w:w="8521" w:type="dxa"/>
            <w:vAlign w:val="center"/>
          </w:tcPr>
          <w:p w:rsidR="00EC1B71" w:rsidRPr="0029073D" w:rsidRDefault="00EC1B71" w:rsidP="00B95ECF">
            <w:pPr>
              <w:ind w:left="141"/>
              <w:jc w:val="both"/>
              <w:rPr>
                <w:rFonts w:cs="Arial"/>
              </w:rPr>
            </w:pPr>
            <w:r w:rsidRPr="0029073D">
              <w:rPr>
                <w:rFonts w:cs="Arial"/>
              </w:rPr>
              <w:t xml:space="preserve">Intérêts </w:t>
            </w:r>
            <w:r>
              <w:rPr>
                <w:rFonts w:cs="Arial"/>
              </w:rPr>
              <w:t xml:space="preserve">moratoires </w:t>
            </w:r>
            <w:r w:rsidRPr="0029073D">
              <w:rPr>
                <w:rFonts w:cs="Arial"/>
              </w:rPr>
              <w:t>sur les paiements différés</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17</w:t>
            </w:r>
          </w:p>
        </w:tc>
        <w:tc>
          <w:tcPr>
            <w:tcW w:w="8521" w:type="dxa"/>
            <w:vAlign w:val="center"/>
          </w:tcPr>
          <w:p w:rsidR="00EC1B71" w:rsidRPr="0029073D" w:rsidRDefault="00EC1B71" w:rsidP="00B95ECF">
            <w:pPr>
              <w:ind w:left="141"/>
              <w:jc w:val="both"/>
              <w:rPr>
                <w:rFonts w:cs="Arial"/>
              </w:rPr>
            </w:pPr>
            <w:r w:rsidRPr="0029073D">
              <w:rPr>
                <w:rFonts w:cs="Arial"/>
              </w:rPr>
              <w:t>Coût de l’extension de garantie (y. c. prolongations, ne pas oublier les fournisseurs et sous-traitants)</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18</w:t>
            </w:r>
          </w:p>
        </w:tc>
        <w:tc>
          <w:tcPr>
            <w:tcW w:w="8521" w:type="dxa"/>
            <w:vAlign w:val="center"/>
          </w:tcPr>
          <w:p w:rsidR="00EC1B71" w:rsidRPr="0029073D" w:rsidRDefault="00EC1B71" w:rsidP="00B95ECF">
            <w:pPr>
              <w:ind w:left="141"/>
              <w:jc w:val="both"/>
              <w:rPr>
                <w:rFonts w:cs="Arial"/>
              </w:rPr>
            </w:pPr>
            <w:r w:rsidRPr="0029073D">
              <w:rPr>
                <w:rFonts w:cs="Arial"/>
              </w:rPr>
              <w:t>Coût de l’assurance pour les taux de change et pertes dues aux taux de change (ex. Assurance COFACE)</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19</w:t>
            </w:r>
          </w:p>
        </w:tc>
        <w:tc>
          <w:tcPr>
            <w:tcW w:w="8521" w:type="dxa"/>
            <w:vAlign w:val="center"/>
          </w:tcPr>
          <w:p w:rsidR="00EC1B71" w:rsidRPr="0029073D" w:rsidRDefault="00EC1B71" w:rsidP="00B95ECF">
            <w:pPr>
              <w:ind w:left="141"/>
              <w:jc w:val="both"/>
              <w:rPr>
                <w:rFonts w:cs="Arial"/>
              </w:rPr>
            </w:pPr>
            <w:r w:rsidRPr="0029073D">
              <w:rPr>
                <w:rFonts w:cs="Arial"/>
              </w:rPr>
              <w:t>Pénalités / dommages et intérêts (vis-à-vis du client ou d’autres Marchés)</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20</w:t>
            </w:r>
          </w:p>
        </w:tc>
        <w:tc>
          <w:tcPr>
            <w:tcW w:w="8521" w:type="dxa"/>
            <w:vAlign w:val="center"/>
          </w:tcPr>
          <w:p w:rsidR="00EC1B71" w:rsidRPr="0029073D" w:rsidRDefault="00EC1B71" w:rsidP="00B95ECF">
            <w:pPr>
              <w:ind w:left="141"/>
              <w:jc w:val="both"/>
              <w:rPr>
                <w:rFonts w:cs="Arial"/>
              </w:rPr>
            </w:pPr>
            <w:r w:rsidRPr="0029073D">
              <w:rPr>
                <w:rFonts w:cs="Arial"/>
              </w:rPr>
              <w:t>Perte de profit, perte de chance, dommages indirects</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21</w:t>
            </w:r>
          </w:p>
        </w:tc>
        <w:tc>
          <w:tcPr>
            <w:tcW w:w="8521" w:type="dxa"/>
            <w:vAlign w:val="center"/>
          </w:tcPr>
          <w:p w:rsidR="00EC1B71" w:rsidRPr="0029073D" w:rsidRDefault="00EC1B71" w:rsidP="00B95ECF">
            <w:pPr>
              <w:ind w:left="141"/>
              <w:jc w:val="both"/>
              <w:rPr>
                <w:rFonts w:cs="Arial"/>
              </w:rPr>
            </w:pPr>
            <w:r w:rsidRPr="0029073D">
              <w:rPr>
                <w:rFonts w:cs="Arial"/>
              </w:rPr>
              <w:t>Atteinte à l’image et/ou la réputation (y. c. impacts sur les marchés financiers)</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22</w:t>
            </w:r>
          </w:p>
        </w:tc>
        <w:tc>
          <w:tcPr>
            <w:tcW w:w="8521" w:type="dxa"/>
            <w:vAlign w:val="center"/>
          </w:tcPr>
          <w:p w:rsidR="00EC1B71" w:rsidRPr="0029073D" w:rsidRDefault="00EC1B71" w:rsidP="00B95ECF">
            <w:pPr>
              <w:ind w:left="141"/>
              <w:jc w:val="both"/>
              <w:rPr>
                <w:rFonts w:cs="Arial"/>
              </w:rPr>
            </w:pPr>
            <w:r w:rsidRPr="0029073D">
              <w:rPr>
                <w:rFonts w:cs="Arial"/>
              </w:rPr>
              <w:t>Accélérations et changement de logique/séquence (implication au niveau du risque qui devient plus élevé donc provisions financières à réévaluer à la hausse)</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23</w:t>
            </w:r>
          </w:p>
        </w:tc>
        <w:tc>
          <w:tcPr>
            <w:tcW w:w="8521" w:type="dxa"/>
            <w:vAlign w:val="center"/>
          </w:tcPr>
          <w:p w:rsidR="00EC1B71" w:rsidRPr="0029073D" w:rsidRDefault="00EC1B71" w:rsidP="00B95ECF">
            <w:pPr>
              <w:ind w:left="141"/>
              <w:jc w:val="both"/>
              <w:rPr>
                <w:rFonts w:cs="Arial"/>
              </w:rPr>
            </w:pPr>
            <w:r w:rsidRPr="0029073D">
              <w:rPr>
                <w:rFonts w:cs="Arial"/>
              </w:rPr>
              <w:t>Consommation/utilisation de toute ou partie de notre marge (à moins d’une prolongation de délais, implication au niveau du risque qui devient plus élevé donc provisions financières à réévaluer à la hausse)</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24</w:t>
            </w:r>
          </w:p>
        </w:tc>
        <w:tc>
          <w:tcPr>
            <w:tcW w:w="8521" w:type="dxa"/>
            <w:vAlign w:val="center"/>
          </w:tcPr>
          <w:p w:rsidR="00EC1B71" w:rsidRPr="0029073D" w:rsidRDefault="00EC1B71" w:rsidP="00B95ECF">
            <w:pPr>
              <w:ind w:left="141"/>
              <w:jc w:val="both"/>
              <w:rPr>
                <w:rFonts w:cs="Arial"/>
              </w:rPr>
            </w:pPr>
            <w:r w:rsidRPr="0029073D">
              <w:rPr>
                <w:rFonts w:cs="Arial"/>
              </w:rPr>
              <w:t>Risque de ne plus remplir les objectifs de qualité ou de performance (donc provisions financières à réévaluer à la hausse)</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25</w:t>
            </w:r>
          </w:p>
        </w:tc>
        <w:tc>
          <w:tcPr>
            <w:tcW w:w="8521" w:type="dxa"/>
            <w:vAlign w:val="center"/>
          </w:tcPr>
          <w:p w:rsidR="00EC1B71" w:rsidRPr="0029073D" w:rsidRDefault="00EC1B71" w:rsidP="00B95ECF">
            <w:pPr>
              <w:ind w:left="141"/>
              <w:jc w:val="both"/>
              <w:rPr>
                <w:rFonts w:cs="Arial"/>
              </w:rPr>
            </w:pPr>
            <w:r w:rsidRPr="0029073D">
              <w:rPr>
                <w:rFonts w:cs="Arial"/>
              </w:rPr>
              <w:t>Coûts de constitution du dossier d’offre et/ou de réclamation</w:t>
            </w:r>
          </w:p>
        </w:tc>
      </w:tr>
      <w:tr w:rsidR="00EC1B71" w:rsidRPr="005C7ED5" w:rsidTr="00B95ECF">
        <w:trPr>
          <w:trHeight w:val="283"/>
          <w:jc w:val="center"/>
        </w:trPr>
        <w:tc>
          <w:tcPr>
            <w:tcW w:w="659" w:type="dxa"/>
            <w:vAlign w:val="center"/>
          </w:tcPr>
          <w:p w:rsidR="00EC1B71" w:rsidRPr="008A76F4" w:rsidRDefault="00EC1B71" w:rsidP="00B95ECF">
            <w:pPr>
              <w:ind w:left="141"/>
              <w:rPr>
                <w:rFonts w:cs="Arial"/>
                <w:b/>
              </w:rPr>
            </w:pPr>
            <w:r w:rsidRPr="008A76F4">
              <w:rPr>
                <w:rFonts w:cs="Arial"/>
                <w:b/>
              </w:rPr>
              <w:t>26</w:t>
            </w:r>
          </w:p>
        </w:tc>
        <w:tc>
          <w:tcPr>
            <w:tcW w:w="8521" w:type="dxa"/>
            <w:vAlign w:val="center"/>
          </w:tcPr>
          <w:p w:rsidR="00EC1B71" w:rsidRPr="0029073D" w:rsidRDefault="00EC1B71" w:rsidP="00B95ECF">
            <w:pPr>
              <w:ind w:left="141"/>
              <w:jc w:val="both"/>
              <w:rPr>
                <w:rFonts w:cs="Arial"/>
              </w:rPr>
            </w:pPr>
            <w:r w:rsidRPr="0029073D">
              <w:rPr>
                <w:rFonts w:cs="Arial"/>
              </w:rPr>
              <w:t>Frais de procédure (le cas échéant)</w:t>
            </w:r>
          </w:p>
        </w:tc>
      </w:tr>
    </w:tbl>
    <w:p w:rsidR="00EC1B71" w:rsidRPr="00470462" w:rsidRDefault="00EC1B71" w:rsidP="00EC1B71">
      <w:pPr>
        <w:tabs>
          <w:tab w:val="left" w:pos="945"/>
        </w:tabs>
        <w:spacing w:line="240" w:lineRule="auto"/>
        <w:rPr>
          <w:rFonts w:cs="Arial"/>
          <w:sz w:val="14"/>
        </w:rPr>
      </w:pPr>
    </w:p>
    <w:p w:rsidR="00EC1B71" w:rsidRDefault="00EC1B71" w:rsidP="00EC1B71">
      <w:pPr>
        <w:jc w:val="both"/>
        <w:rPr>
          <w:rFonts w:cs="Arial"/>
        </w:rPr>
      </w:pPr>
      <w:r>
        <w:rPr>
          <w:rFonts w:cs="Arial"/>
        </w:rPr>
        <w:t xml:space="preserve">Compte tenu des discussions et de la négociation qui auront lieu, et du fait que Naval Group sera challengé systématiquement par la partie adverse, il ira de son intérêt de réclamer un </w:t>
      </w:r>
      <w:r>
        <w:rPr>
          <w:rFonts w:cs="Arial"/>
        </w:rPr>
        <w:lastRenderedPageBreak/>
        <w:t xml:space="preserve">maximum de ces types de surcoûts (même si certains sujets ont peu de chance d’aboutir à une indemnisation finalement).  </w:t>
      </w:r>
    </w:p>
    <w:p w:rsidR="00EC1B71" w:rsidRDefault="00EC1B71" w:rsidP="00EC1B71">
      <w:pPr>
        <w:jc w:val="both"/>
        <w:rPr>
          <w:rFonts w:cs="Arial"/>
        </w:rPr>
      </w:pPr>
      <w:r>
        <w:rPr>
          <w:rFonts w:cs="Arial"/>
        </w:rPr>
        <w:t>Chaque sujet qui sera écarté pourra donner lieu, s’il est bien négocié, à une contrepartie. Il est donc primordial pour Naval Group de réclamer et défendre chacun d’entre eux jusqu’à obtenir cette contrepartie.</w:t>
      </w:r>
    </w:p>
    <w:p w:rsidR="00EC1B71" w:rsidRDefault="00EC1B71" w:rsidP="00EC1B71">
      <w:pPr>
        <w:jc w:val="both"/>
        <w:rPr>
          <w:rFonts w:cs="Arial"/>
        </w:rPr>
      </w:pPr>
      <w:r>
        <w:rPr>
          <w:rFonts w:cs="Arial"/>
        </w:rPr>
        <w:t>Outre ce facteur, il est utile et d’usage de rajouter à l’ensemble des coûts subis ou à subir des éléments permettant de disposer d’une marge de négociation (variable selon le pays et la culture du client). Ces éléments doivent malgré tout posséder une certaine substance (ex. : peines et soins). La notion de Profit doit être évitée si possible.</w:t>
      </w:r>
    </w:p>
    <w:p w:rsidR="00EC1B71" w:rsidRDefault="00EC1B71" w:rsidP="00EC1B71">
      <w:pPr>
        <w:spacing w:after="0"/>
        <w:jc w:val="both"/>
        <w:rPr>
          <w:rFonts w:cs="Arial"/>
        </w:rPr>
      </w:pPr>
      <w:r>
        <w:rPr>
          <w:rFonts w:cs="Arial"/>
        </w:rPr>
        <w:t>Selon la stratégie choisie, on pourra prendre en compte :</w:t>
      </w:r>
    </w:p>
    <w:p w:rsidR="00EC1B71" w:rsidRDefault="00EC1B71" w:rsidP="00EC1B71">
      <w:pPr>
        <w:pStyle w:val="Paragraphedeliste"/>
        <w:numPr>
          <w:ilvl w:val="0"/>
          <w:numId w:val="1"/>
        </w:numPr>
        <w:jc w:val="both"/>
        <w:rPr>
          <w:rFonts w:cs="Arial"/>
        </w:rPr>
      </w:pPr>
      <w:r>
        <w:rPr>
          <w:rFonts w:cs="Arial"/>
        </w:rPr>
        <w:t>Les coûts passés réalisés uniquement (si l’on veut traiter uniquement des surcoûts avérés)</w:t>
      </w:r>
    </w:p>
    <w:p w:rsidR="00EC1B71" w:rsidRDefault="00EC1B71" w:rsidP="00EC1B71">
      <w:pPr>
        <w:pStyle w:val="Paragraphedeliste"/>
        <w:numPr>
          <w:ilvl w:val="0"/>
          <w:numId w:val="1"/>
        </w:numPr>
        <w:jc w:val="both"/>
        <w:rPr>
          <w:rFonts w:cs="Arial"/>
        </w:rPr>
      </w:pPr>
      <w:r>
        <w:rPr>
          <w:rFonts w:cs="Arial"/>
        </w:rPr>
        <w:t>Les coûts futurs uniquement (si l’on ne veut pas soulever de débat concernant les évènements passés)</w:t>
      </w:r>
    </w:p>
    <w:p w:rsidR="00EC1B71" w:rsidRDefault="00EC1B71" w:rsidP="00EC1B71">
      <w:pPr>
        <w:pStyle w:val="Paragraphedeliste"/>
        <w:numPr>
          <w:ilvl w:val="0"/>
          <w:numId w:val="1"/>
        </w:numPr>
        <w:jc w:val="both"/>
        <w:rPr>
          <w:rFonts w:cs="Arial"/>
        </w:rPr>
      </w:pPr>
      <w:r>
        <w:rPr>
          <w:rFonts w:cs="Arial"/>
        </w:rPr>
        <w:t>Les coûts passés et futurs (si l’on veut un règlement global et total)</w:t>
      </w:r>
    </w:p>
    <w:tbl>
      <w:tblPr>
        <w:tblStyle w:val="Grilledutableau"/>
        <w:tblW w:w="0" w:type="auto"/>
        <w:tblLook w:val="04A0" w:firstRow="1" w:lastRow="0" w:firstColumn="1" w:lastColumn="0" w:noHBand="0" w:noVBand="1"/>
      </w:tblPr>
      <w:tblGrid>
        <w:gridCol w:w="9062"/>
      </w:tblGrid>
      <w:tr w:rsidR="00EC1B71" w:rsidTr="00B95ECF">
        <w:trPr>
          <w:trHeight w:val="530"/>
        </w:trPr>
        <w:tc>
          <w:tcPr>
            <w:tcW w:w="9212" w:type="dxa"/>
          </w:tcPr>
          <w:p w:rsidR="00EC1B71" w:rsidRPr="001A3A24" w:rsidRDefault="00EC1B71" w:rsidP="00B95ECF">
            <w:pPr>
              <w:rPr>
                <w:rFonts w:cs="Arial"/>
                <w:b/>
                <w:i/>
                <w:sz w:val="16"/>
                <w:szCs w:val="16"/>
                <w:u w:val="single"/>
              </w:rPr>
            </w:pPr>
          </w:p>
          <w:p w:rsidR="00EC1B71" w:rsidRDefault="00EC1B71" w:rsidP="00B95ECF">
            <w:pPr>
              <w:jc w:val="both"/>
              <w:rPr>
                <w:rFonts w:cs="Arial"/>
                <w:i/>
              </w:rPr>
            </w:pPr>
            <w:r w:rsidRPr="00773C66">
              <w:rPr>
                <w:rFonts w:cs="Arial"/>
                <w:b/>
                <w:i/>
                <w:u w:val="single"/>
              </w:rPr>
              <w:t>Rappel</w:t>
            </w:r>
            <w:r w:rsidRPr="00773C66">
              <w:rPr>
                <w:rFonts w:cs="Arial"/>
                <w:i/>
              </w:rPr>
              <w:t> : Devant la plupart des Tribunaux et Chambres, la charge de la preuve revient au plaignant/demandeur.</w:t>
            </w:r>
          </w:p>
          <w:p w:rsidR="00EC1B71" w:rsidRPr="001A3A24" w:rsidRDefault="00EC1B71" w:rsidP="00B95ECF">
            <w:pPr>
              <w:rPr>
                <w:rFonts w:cs="Arial"/>
                <w:sz w:val="16"/>
                <w:szCs w:val="16"/>
              </w:rPr>
            </w:pPr>
          </w:p>
        </w:tc>
      </w:tr>
    </w:tbl>
    <w:p w:rsidR="00CB1FFD" w:rsidRDefault="00CB1FFD"/>
    <w:p w:rsidR="00C35C37" w:rsidRPr="00C35C37" w:rsidRDefault="00C35C37">
      <w:pPr>
        <w:rPr>
          <w:b/>
        </w:rPr>
      </w:pPr>
      <w:r w:rsidRPr="00C35C37">
        <w:rPr>
          <w:b/>
        </w:rPr>
        <w:t>Nom du spécialiste groupe qui peut répondre à d’éventuelles questions au sujet de la valorisation des préjudices : Thierry Vidal (thierry.vidal@naval-group.com)</w:t>
      </w:r>
      <w:bookmarkStart w:id="0" w:name="_GoBack"/>
      <w:bookmarkEnd w:id="0"/>
    </w:p>
    <w:sectPr w:rsidR="00C35C37" w:rsidRPr="00C35C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315F"/>
    <w:multiLevelType w:val="hybridMultilevel"/>
    <w:tmpl w:val="1CB817E6"/>
    <w:lvl w:ilvl="0" w:tplc="98A09C7E">
      <w:start w:val="7"/>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71"/>
    <w:rsid w:val="00C35C37"/>
    <w:rsid w:val="00CB1FFD"/>
    <w:rsid w:val="00EC1B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8389"/>
  <w15:chartTrackingRefBased/>
  <w15:docId w15:val="{247011DC-ECC8-448B-A0B8-209341A8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71"/>
    <w:pPr>
      <w:spacing w:after="200" w:line="276" w:lineRule="auto"/>
    </w:pPr>
    <w:rPr>
      <w:rFonts w:ascii="Arial" w:hAnsi="Arial"/>
    </w:rPr>
  </w:style>
  <w:style w:type="paragraph" w:styleId="Titre4">
    <w:name w:val="heading 4"/>
    <w:basedOn w:val="Normal"/>
    <w:next w:val="Normal"/>
    <w:link w:val="Titre4Car"/>
    <w:uiPriority w:val="9"/>
    <w:unhideWhenUsed/>
    <w:qFormat/>
    <w:rsid w:val="00EC1B7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EC1B71"/>
    <w:rPr>
      <w:rFonts w:asciiTheme="majorHAnsi" w:eastAsiaTheme="majorEastAsia" w:hAnsiTheme="majorHAnsi" w:cstheme="majorBidi"/>
      <w:b/>
      <w:bCs/>
      <w:i/>
      <w:iCs/>
      <w:color w:val="4472C4" w:themeColor="accent1"/>
    </w:rPr>
  </w:style>
  <w:style w:type="table" w:styleId="Grilledutableau">
    <w:name w:val="Table Grid"/>
    <w:basedOn w:val="TableauNormal"/>
    <w:uiPriority w:val="59"/>
    <w:rsid w:val="00EC1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C1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801</Words>
  <Characters>4409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Naval Group</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Vidal</dc:creator>
  <cp:keywords/>
  <dc:description/>
  <cp:lastModifiedBy>Thierry Vidal</cp:lastModifiedBy>
  <cp:revision>2</cp:revision>
  <dcterms:created xsi:type="dcterms:W3CDTF">2024-07-08T08:29:00Z</dcterms:created>
  <dcterms:modified xsi:type="dcterms:W3CDTF">2024-07-08T08:33:00Z</dcterms:modified>
</cp:coreProperties>
</file>